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A0" w:rsidRPr="002B66D5" w:rsidRDefault="008D58AC" w:rsidP="00922E7F">
      <w:pPr>
        <w:spacing w:after="0" w:line="240" w:lineRule="auto"/>
        <w:ind w:left="851"/>
        <w:jc w:val="center"/>
        <w:rPr>
          <w:b/>
          <w:bCs/>
          <w:color w:val="B2A1C7"/>
          <w:sz w:val="28"/>
          <w:szCs w:val="28"/>
        </w:rPr>
      </w:pPr>
      <w:bookmarkStart w:id="0" w:name="_GoBack"/>
      <w:bookmarkEnd w:id="0"/>
      <w:r w:rsidRPr="002B66D5">
        <w:rPr>
          <w:b/>
          <w:bCs/>
          <w:color w:val="B2A1C7"/>
          <w:sz w:val="28"/>
          <w:szCs w:val="28"/>
        </w:rPr>
        <w:t>Tabla de A</w:t>
      </w:r>
      <w:r w:rsidR="00926FAD" w:rsidRPr="002B66D5">
        <w:rPr>
          <w:b/>
          <w:bCs/>
          <w:color w:val="B2A1C7"/>
          <w:sz w:val="28"/>
          <w:szCs w:val="28"/>
        </w:rPr>
        <w:t>plica</w:t>
      </w:r>
      <w:r w:rsidRPr="002B66D5">
        <w:rPr>
          <w:b/>
          <w:bCs/>
          <w:color w:val="B2A1C7"/>
          <w:sz w:val="28"/>
          <w:szCs w:val="28"/>
        </w:rPr>
        <w:t>bilidad de las Obligaciones de T</w:t>
      </w:r>
      <w:r w:rsidR="00926FAD" w:rsidRPr="002B66D5">
        <w:rPr>
          <w:b/>
          <w:bCs/>
          <w:color w:val="B2A1C7"/>
          <w:sz w:val="28"/>
          <w:szCs w:val="28"/>
        </w:rPr>
        <w:t xml:space="preserve">ransparencia </w:t>
      </w:r>
      <w:r w:rsidRPr="002B66D5">
        <w:rPr>
          <w:b/>
          <w:bCs/>
          <w:color w:val="B2A1C7"/>
          <w:sz w:val="28"/>
          <w:szCs w:val="28"/>
        </w:rPr>
        <w:t>C</w:t>
      </w:r>
      <w:r w:rsidR="0091347C" w:rsidRPr="002B66D5">
        <w:rPr>
          <w:b/>
          <w:bCs/>
          <w:color w:val="B2A1C7"/>
          <w:sz w:val="28"/>
          <w:szCs w:val="28"/>
        </w:rPr>
        <w:t>omunes</w:t>
      </w:r>
      <w:r w:rsidR="00F307FE" w:rsidRPr="002B66D5">
        <w:rPr>
          <w:b/>
          <w:bCs/>
          <w:color w:val="B2A1C7"/>
          <w:sz w:val="28"/>
          <w:szCs w:val="28"/>
        </w:rPr>
        <w:t xml:space="preserve"> de</w:t>
      </w:r>
      <w:r w:rsidR="000216A0" w:rsidRPr="002B66D5">
        <w:rPr>
          <w:b/>
          <w:bCs/>
          <w:color w:val="B2A1C7"/>
          <w:sz w:val="28"/>
          <w:szCs w:val="28"/>
        </w:rPr>
        <w:t xml:space="preserve"> </w:t>
      </w:r>
      <w:r w:rsidR="00F307FE" w:rsidRPr="002B66D5">
        <w:rPr>
          <w:b/>
          <w:bCs/>
          <w:color w:val="B2A1C7"/>
          <w:sz w:val="28"/>
          <w:szCs w:val="28"/>
        </w:rPr>
        <w:t xml:space="preserve">la </w:t>
      </w:r>
    </w:p>
    <w:p w:rsidR="00EB76C4" w:rsidRPr="002B66D5" w:rsidRDefault="00F307FE" w:rsidP="00922E7F">
      <w:pPr>
        <w:spacing w:after="0" w:line="240" w:lineRule="auto"/>
        <w:ind w:left="851"/>
        <w:jc w:val="center"/>
        <w:rPr>
          <w:b/>
          <w:bCs/>
          <w:color w:val="B2A1C7"/>
          <w:sz w:val="28"/>
          <w:szCs w:val="28"/>
        </w:rPr>
      </w:pPr>
      <w:r w:rsidRPr="002B66D5">
        <w:rPr>
          <w:b/>
          <w:bCs/>
          <w:color w:val="B2A1C7"/>
          <w:sz w:val="28"/>
          <w:szCs w:val="28"/>
        </w:rPr>
        <w:t>&lt;&lt;</w:t>
      </w:r>
      <w:r w:rsidR="000216A0" w:rsidRPr="002B66D5">
        <w:rPr>
          <w:b/>
          <w:bCs/>
          <w:color w:val="B2A1C7"/>
          <w:sz w:val="28"/>
          <w:szCs w:val="28"/>
        </w:rPr>
        <w:t>Comisión de Arbitraje Médico del Estado de Sinaloa</w:t>
      </w:r>
      <w:r w:rsidRPr="002B66D5">
        <w:rPr>
          <w:b/>
          <w:bCs/>
          <w:color w:val="B2A1C7"/>
          <w:sz w:val="28"/>
          <w:szCs w:val="28"/>
        </w:rPr>
        <w:t>&gt;&gt;</w:t>
      </w:r>
    </w:p>
    <w:p w:rsidR="00554264" w:rsidRDefault="00554264" w:rsidP="00667E9A">
      <w:pPr>
        <w:spacing w:after="0" w:line="240" w:lineRule="auto"/>
        <w:ind w:left="851"/>
        <w:jc w:val="both"/>
        <w:rPr>
          <w:i/>
        </w:rPr>
      </w:pPr>
    </w:p>
    <w:p w:rsidR="00667E9A" w:rsidRPr="00E7471C" w:rsidRDefault="00667E9A" w:rsidP="00DC5804">
      <w:pPr>
        <w:autoSpaceDE w:val="0"/>
        <w:autoSpaceDN w:val="0"/>
        <w:adjustRightInd w:val="0"/>
        <w:spacing w:after="0" w:line="240" w:lineRule="auto"/>
        <w:jc w:val="both"/>
        <w:rPr>
          <w:rFonts w:cs="Arial"/>
        </w:rPr>
      </w:pPr>
      <w:r w:rsidRPr="00E7471C">
        <w:rPr>
          <w:b/>
          <w:bCs/>
          <w:color w:val="CCC0D9"/>
        </w:rPr>
        <w:t xml:space="preserve">Artículo </w:t>
      </w:r>
      <w:r w:rsidR="00DC5804" w:rsidRPr="00E7471C">
        <w:rPr>
          <w:b/>
          <w:bCs/>
          <w:color w:val="CCC0D9"/>
        </w:rPr>
        <w:t>95</w:t>
      </w:r>
      <w:r w:rsidRPr="00E7471C">
        <w:rPr>
          <w:b/>
          <w:bCs/>
          <w:color w:val="CCC0D9"/>
        </w:rPr>
        <w:t>.</w:t>
      </w:r>
      <w:r w:rsidRPr="00E7471C">
        <w:t xml:space="preserve"> </w:t>
      </w:r>
      <w:r w:rsidR="00DC5804" w:rsidRPr="00E7471C">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8D58AC" w:rsidRPr="00E7471C">
        <w:t>, por lo menos</w:t>
      </w:r>
      <w:r w:rsidRPr="00E7471C">
        <w:t xml:space="preserve"> de los temas, documentos y políticas que a continuación se señalan:</w:t>
      </w:r>
      <w:r w:rsidRPr="00E7471C">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4"/>
        <w:gridCol w:w="1450"/>
        <w:gridCol w:w="1451"/>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95034E" w:rsidRDefault="00951EA4" w:rsidP="00864C64">
            <w:pPr>
              <w:spacing w:after="0" w:line="240" w:lineRule="auto"/>
              <w:jc w:val="center"/>
              <w:rPr>
                <w:rFonts w:cs="Calibri"/>
                <w:b/>
                <w:bCs/>
                <w:color w:val="FFFFFF"/>
                <w:sz w:val="20"/>
                <w:szCs w:val="20"/>
              </w:rPr>
            </w:pPr>
            <w:r w:rsidRPr="0095034E">
              <w:rPr>
                <w:rFonts w:cs="Calibri"/>
                <w:b/>
                <w:bCs/>
                <w:color w:val="FFFFFF"/>
                <w:sz w:val="20"/>
                <w:szCs w:val="20"/>
              </w:rPr>
              <w:t>Orden de gobierno</w:t>
            </w:r>
          </w:p>
        </w:tc>
        <w:tc>
          <w:tcPr>
            <w:tcW w:w="558" w:type="pct"/>
            <w:vMerge w:val="restart"/>
            <w:shd w:val="clear" w:color="auto" w:fill="CCC0D9"/>
            <w:vAlign w:val="center"/>
            <w:hideMark/>
          </w:tcPr>
          <w:p w:rsidR="00951EA4" w:rsidRPr="0095034E" w:rsidRDefault="00A83D2C" w:rsidP="00A83D2C">
            <w:pPr>
              <w:spacing w:after="0" w:line="240" w:lineRule="auto"/>
              <w:jc w:val="center"/>
              <w:rPr>
                <w:rFonts w:cs="Calibri"/>
                <w:b/>
                <w:bCs/>
                <w:color w:val="FFFFFF"/>
                <w:sz w:val="20"/>
                <w:szCs w:val="20"/>
              </w:rPr>
            </w:pPr>
            <w:r w:rsidRPr="0095034E">
              <w:rPr>
                <w:rFonts w:cs="Calibri"/>
                <w:b/>
                <w:bCs/>
                <w:color w:val="FFFFFF"/>
                <w:sz w:val="20"/>
                <w:szCs w:val="20"/>
              </w:rPr>
              <w:t>P</w:t>
            </w:r>
            <w:r w:rsidR="00951EA4" w:rsidRPr="0095034E">
              <w:rPr>
                <w:rFonts w:cs="Calibri"/>
                <w:b/>
                <w:bCs/>
                <w:color w:val="FFFFFF"/>
                <w:sz w:val="20"/>
                <w:szCs w:val="20"/>
              </w:rPr>
              <w:t>oder de gobierno</w:t>
            </w:r>
            <w:r w:rsidRPr="0095034E">
              <w:rPr>
                <w:rFonts w:cs="Calibri"/>
                <w:b/>
                <w:bCs/>
                <w:color w:val="FFFFFF"/>
                <w:sz w:val="20"/>
                <w:szCs w:val="20"/>
              </w:rPr>
              <w:t xml:space="preserve"> o ámbito al que pertenece</w:t>
            </w:r>
          </w:p>
        </w:tc>
        <w:tc>
          <w:tcPr>
            <w:tcW w:w="558" w:type="pct"/>
            <w:vMerge w:val="restart"/>
            <w:shd w:val="clear" w:color="auto" w:fill="CCC0D9"/>
            <w:vAlign w:val="center"/>
            <w:hideMark/>
          </w:tcPr>
          <w:p w:rsidR="00951EA4" w:rsidRPr="0095034E" w:rsidRDefault="00951EA4" w:rsidP="00864C64">
            <w:pPr>
              <w:spacing w:after="0" w:line="240" w:lineRule="auto"/>
              <w:jc w:val="center"/>
              <w:rPr>
                <w:rFonts w:cs="Calibri"/>
                <w:b/>
                <w:bCs/>
                <w:color w:val="FFFFFF"/>
                <w:sz w:val="20"/>
                <w:szCs w:val="20"/>
              </w:rPr>
            </w:pPr>
            <w:r w:rsidRPr="0095034E">
              <w:rPr>
                <w:rFonts w:cs="Calibri"/>
                <w:b/>
                <w:bCs/>
                <w:color w:val="FFFFFF"/>
                <w:sz w:val="20"/>
                <w:szCs w:val="20"/>
              </w:rPr>
              <w:t>Tipo de sujeto obligado</w:t>
            </w:r>
          </w:p>
          <w:p w:rsidR="00951EA4" w:rsidRPr="0095034E" w:rsidRDefault="00951EA4" w:rsidP="00A83D2C">
            <w:pPr>
              <w:spacing w:after="0" w:line="240" w:lineRule="auto"/>
              <w:rPr>
                <w:rFonts w:cs="Calibri"/>
                <w:b/>
                <w:bCs/>
                <w:color w:val="FFFFFF"/>
                <w:sz w:val="20"/>
                <w:szCs w:val="20"/>
              </w:rPr>
            </w:pPr>
          </w:p>
        </w:tc>
        <w:tc>
          <w:tcPr>
            <w:tcW w:w="3517" w:type="pct"/>
            <w:gridSpan w:val="4"/>
            <w:shd w:val="clear" w:color="auto" w:fill="CCC0D9"/>
            <w:vAlign w:val="center"/>
            <w:hideMark/>
          </w:tcPr>
          <w:p w:rsidR="00951EA4" w:rsidRPr="0095034E" w:rsidRDefault="00763AE2" w:rsidP="00864C64">
            <w:pPr>
              <w:spacing w:after="0" w:line="240" w:lineRule="auto"/>
              <w:jc w:val="center"/>
              <w:rPr>
                <w:rFonts w:cs="Calibri"/>
                <w:b/>
                <w:bCs/>
                <w:color w:val="FFFFFF"/>
                <w:sz w:val="20"/>
                <w:szCs w:val="20"/>
              </w:rPr>
            </w:pPr>
            <w:r w:rsidRPr="0095034E">
              <w:rPr>
                <w:rFonts w:cs="Calibri"/>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95034E" w:rsidRDefault="00951EA4" w:rsidP="00864C64">
            <w:pPr>
              <w:spacing w:after="0" w:line="240" w:lineRule="auto"/>
              <w:rPr>
                <w:rFonts w:cs="Calibri"/>
                <w:b/>
                <w:bCs/>
                <w:color w:val="FFFFFF"/>
                <w:sz w:val="20"/>
                <w:szCs w:val="20"/>
              </w:rPr>
            </w:pPr>
          </w:p>
        </w:tc>
        <w:tc>
          <w:tcPr>
            <w:tcW w:w="558" w:type="pct"/>
            <w:vMerge/>
            <w:shd w:val="clear" w:color="auto" w:fill="CCC0D9"/>
            <w:vAlign w:val="center"/>
            <w:hideMark/>
          </w:tcPr>
          <w:p w:rsidR="00951EA4" w:rsidRPr="0095034E" w:rsidRDefault="00951EA4" w:rsidP="00864C64">
            <w:pPr>
              <w:spacing w:after="0" w:line="240" w:lineRule="auto"/>
              <w:rPr>
                <w:rFonts w:cs="Calibri"/>
                <w:b/>
                <w:bCs/>
                <w:color w:val="FFFFFF"/>
                <w:sz w:val="20"/>
                <w:szCs w:val="20"/>
              </w:rPr>
            </w:pPr>
          </w:p>
        </w:tc>
        <w:tc>
          <w:tcPr>
            <w:tcW w:w="558" w:type="pct"/>
            <w:vMerge/>
            <w:shd w:val="clear" w:color="auto" w:fill="CCC0D9"/>
            <w:vAlign w:val="center"/>
            <w:hideMark/>
          </w:tcPr>
          <w:p w:rsidR="00951EA4" w:rsidRPr="0095034E" w:rsidRDefault="00951EA4" w:rsidP="00864C64">
            <w:pPr>
              <w:spacing w:after="0" w:line="240" w:lineRule="auto"/>
              <w:jc w:val="center"/>
              <w:rPr>
                <w:rFonts w:cs="Calibri"/>
                <w:b/>
                <w:bCs/>
                <w:color w:val="FFFFFF"/>
                <w:sz w:val="20"/>
                <w:szCs w:val="20"/>
              </w:rPr>
            </w:pPr>
          </w:p>
        </w:tc>
        <w:tc>
          <w:tcPr>
            <w:tcW w:w="1406" w:type="pct"/>
            <w:gridSpan w:val="2"/>
            <w:shd w:val="clear" w:color="auto" w:fill="CCC0D9"/>
            <w:vAlign w:val="center"/>
            <w:hideMark/>
          </w:tcPr>
          <w:p w:rsidR="00951EA4" w:rsidRPr="0095034E" w:rsidRDefault="00951EA4" w:rsidP="00864C64">
            <w:pPr>
              <w:spacing w:after="0" w:line="240" w:lineRule="auto"/>
              <w:jc w:val="center"/>
              <w:rPr>
                <w:rFonts w:cs="Calibri"/>
                <w:b/>
                <w:bCs/>
                <w:color w:val="FFFFFF"/>
                <w:sz w:val="20"/>
                <w:szCs w:val="20"/>
              </w:rPr>
            </w:pPr>
            <w:r w:rsidRPr="0095034E">
              <w:rPr>
                <w:rFonts w:cs="Calibri"/>
                <w:b/>
                <w:bCs/>
                <w:color w:val="FFFFFF"/>
                <w:sz w:val="20"/>
                <w:szCs w:val="20"/>
              </w:rPr>
              <w:t>Fracción</w:t>
            </w:r>
          </w:p>
        </w:tc>
        <w:tc>
          <w:tcPr>
            <w:tcW w:w="1090" w:type="pct"/>
            <w:shd w:val="clear" w:color="auto" w:fill="CCC0D9"/>
            <w:vAlign w:val="center"/>
            <w:hideMark/>
          </w:tcPr>
          <w:p w:rsidR="00951EA4" w:rsidRPr="0095034E" w:rsidRDefault="00951EA4" w:rsidP="00534D62">
            <w:pPr>
              <w:spacing w:after="0" w:line="240" w:lineRule="auto"/>
              <w:jc w:val="center"/>
              <w:rPr>
                <w:rFonts w:cs="Calibri"/>
                <w:b/>
                <w:bCs/>
                <w:color w:val="FFFFFF"/>
                <w:sz w:val="20"/>
                <w:szCs w:val="20"/>
              </w:rPr>
            </w:pPr>
            <w:r w:rsidRPr="0095034E">
              <w:rPr>
                <w:rFonts w:cs="Calibri"/>
                <w:b/>
                <w:bCs/>
                <w:color w:val="FFFFFF"/>
                <w:sz w:val="20"/>
                <w:szCs w:val="20"/>
              </w:rPr>
              <w:t>Aplicabilidad</w:t>
            </w:r>
          </w:p>
        </w:tc>
        <w:tc>
          <w:tcPr>
            <w:tcW w:w="1021" w:type="pct"/>
            <w:shd w:val="clear" w:color="auto" w:fill="CCC0D9"/>
            <w:vAlign w:val="center"/>
            <w:hideMark/>
          </w:tcPr>
          <w:p w:rsidR="00951EA4" w:rsidRPr="0095034E" w:rsidRDefault="00951EA4" w:rsidP="00864C64">
            <w:pPr>
              <w:spacing w:after="0" w:line="240" w:lineRule="auto"/>
              <w:jc w:val="center"/>
              <w:rPr>
                <w:rFonts w:cs="Calibri"/>
                <w:b/>
                <w:bCs/>
                <w:color w:val="FFFFFF"/>
                <w:sz w:val="20"/>
                <w:szCs w:val="20"/>
              </w:rPr>
            </w:pPr>
            <w:r w:rsidRPr="0095034E">
              <w:rPr>
                <w:rFonts w:cs="Calibri"/>
                <w:b/>
                <w:bCs/>
                <w:color w:val="FFFFFF"/>
                <w:sz w:val="20"/>
                <w:szCs w:val="20"/>
              </w:rPr>
              <w:t xml:space="preserve">Área(s) o unidad(es) administrativa(s) </w:t>
            </w:r>
            <w:r w:rsidR="008D58AC" w:rsidRPr="0095034E">
              <w:rPr>
                <w:rFonts w:cs="Calibri"/>
                <w:b/>
                <w:bCs/>
                <w:color w:val="FFFFFF"/>
                <w:sz w:val="20"/>
                <w:szCs w:val="20"/>
              </w:rPr>
              <w:t xml:space="preserve">que </w:t>
            </w:r>
            <w:r w:rsidRPr="0095034E">
              <w:rPr>
                <w:rFonts w:cs="Calibri"/>
                <w:b/>
                <w:bCs/>
                <w:color w:val="FFFFFF"/>
                <w:sz w:val="20"/>
                <w:szCs w:val="20"/>
              </w:rPr>
              <w:t>genera(n) o posee(n) la información</w:t>
            </w:r>
          </w:p>
        </w:tc>
      </w:tr>
      <w:tr w:rsidR="0091347C" w:rsidRPr="006F48A7" w:rsidTr="002010DF">
        <w:trPr>
          <w:trHeight w:val="1648"/>
        </w:trPr>
        <w:tc>
          <w:tcPr>
            <w:tcW w:w="367" w:type="pct"/>
            <w:vMerge w:val="restart"/>
            <w:shd w:val="clear" w:color="000000" w:fill="FFFFFF"/>
            <w:vAlign w:val="center"/>
            <w:hideMark/>
          </w:tcPr>
          <w:p w:rsidR="0091347C" w:rsidRPr="0095034E" w:rsidRDefault="00873778" w:rsidP="00B54DFB">
            <w:pPr>
              <w:spacing w:after="0" w:line="240" w:lineRule="auto"/>
              <w:jc w:val="center"/>
              <w:rPr>
                <w:rFonts w:cs="Calibri"/>
                <w:color w:val="000000"/>
                <w:sz w:val="20"/>
                <w:szCs w:val="20"/>
              </w:rPr>
            </w:pPr>
            <w:r w:rsidRPr="0095034E">
              <w:rPr>
                <w:rFonts w:cs="Calibri"/>
                <w:color w:val="000000"/>
                <w:sz w:val="20"/>
                <w:szCs w:val="20"/>
              </w:rPr>
              <w:t>Estatal</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lastRenderedPageBreak/>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lastRenderedPageBreak/>
              <w:t> </w:t>
            </w:r>
          </w:p>
        </w:tc>
        <w:tc>
          <w:tcPr>
            <w:tcW w:w="558" w:type="pct"/>
            <w:vMerge w:val="restart"/>
            <w:shd w:val="clear" w:color="000000" w:fill="FFFFFF"/>
            <w:vAlign w:val="center"/>
            <w:hideMark/>
          </w:tcPr>
          <w:p w:rsidR="0091347C" w:rsidRPr="0095034E" w:rsidRDefault="0091347C" w:rsidP="00B54DFB">
            <w:pPr>
              <w:spacing w:after="0" w:line="240" w:lineRule="auto"/>
              <w:jc w:val="center"/>
              <w:rPr>
                <w:rFonts w:cs="Calibri"/>
                <w:color w:val="000000"/>
                <w:sz w:val="20"/>
                <w:szCs w:val="20"/>
              </w:rPr>
            </w:pPr>
            <w:r w:rsidRPr="0095034E">
              <w:rPr>
                <w:rFonts w:cs="Calibri"/>
                <w:color w:val="000000"/>
                <w:sz w:val="20"/>
                <w:szCs w:val="20"/>
              </w:rPr>
              <w:lastRenderedPageBreak/>
              <w:t>Poder Ejecutivo</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lastRenderedPageBreak/>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534D62">
            <w:pPr>
              <w:spacing w:after="0" w:line="240" w:lineRule="auto"/>
              <w:rPr>
                <w:rFonts w:cs="Calibri"/>
                <w:color w:val="000000"/>
                <w:sz w:val="20"/>
                <w:szCs w:val="20"/>
              </w:rPr>
            </w:pPr>
            <w:r w:rsidRPr="0095034E">
              <w:rPr>
                <w:rFonts w:cs="Calibri"/>
                <w:color w:val="000000"/>
                <w:sz w:val="20"/>
                <w:szCs w:val="20"/>
              </w:rPr>
              <w:t> </w:t>
            </w:r>
          </w:p>
          <w:p w:rsidR="0091347C" w:rsidRPr="0095034E" w:rsidRDefault="0091347C" w:rsidP="001112FB">
            <w:pPr>
              <w:spacing w:after="0" w:line="240" w:lineRule="auto"/>
              <w:rPr>
                <w:rFonts w:cs="Calibri"/>
                <w:color w:val="000000"/>
                <w:sz w:val="20"/>
                <w:szCs w:val="20"/>
              </w:rPr>
            </w:pPr>
          </w:p>
        </w:tc>
        <w:tc>
          <w:tcPr>
            <w:tcW w:w="558" w:type="pct"/>
            <w:vMerge w:val="restart"/>
            <w:shd w:val="clear" w:color="000000" w:fill="FFFFFF"/>
            <w:hideMark/>
          </w:tcPr>
          <w:p w:rsidR="00F81885" w:rsidRPr="0095034E" w:rsidRDefault="008D58AC" w:rsidP="00B54DFB">
            <w:pPr>
              <w:pStyle w:val="Prrafodelista"/>
              <w:spacing w:after="0" w:line="240" w:lineRule="auto"/>
              <w:ind w:left="0"/>
              <w:jc w:val="center"/>
              <w:rPr>
                <w:rFonts w:cs="Calibri"/>
                <w:color w:val="000000"/>
                <w:lang w:val="es-MX" w:eastAsia="es-MX"/>
              </w:rPr>
            </w:pPr>
            <w:r w:rsidRPr="0095034E">
              <w:rPr>
                <w:rFonts w:cs="Calibri"/>
                <w:color w:val="000000"/>
                <w:lang w:val="es-MX" w:eastAsia="es-MX"/>
              </w:rPr>
              <w:lastRenderedPageBreak/>
              <w:t>Organismo desconcentrado</w:t>
            </w:r>
          </w:p>
          <w:p w:rsidR="00DC40D1" w:rsidRPr="0095034E" w:rsidRDefault="00DC40D1" w:rsidP="00B76803">
            <w:pPr>
              <w:pStyle w:val="Prrafodelista"/>
              <w:spacing w:after="0" w:line="240" w:lineRule="auto"/>
              <w:rPr>
                <w:rFonts w:cs="Calibri"/>
                <w:color w:val="000000"/>
                <w:lang w:val="es-MX" w:eastAsia="es-MX"/>
              </w:rPr>
            </w:pPr>
          </w:p>
          <w:p w:rsidR="00AD418E" w:rsidRPr="0095034E" w:rsidRDefault="00AD418E" w:rsidP="00B76803">
            <w:pPr>
              <w:spacing w:after="0" w:line="240" w:lineRule="auto"/>
              <w:rPr>
                <w:rFonts w:cs="Calibri"/>
                <w:b/>
                <w:color w:val="000000"/>
                <w:sz w:val="20"/>
                <w:szCs w:val="20"/>
              </w:rPr>
            </w:pPr>
          </w:p>
          <w:p w:rsidR="00CD1F2A" w:rsidRPr="0095034E" w:rsidRDefault="00CD1F2A" w:rsidP="00B76803">
            <w:pPr>
              <w:spacing w:after="0" w:line="240" w:lineRule="auto"/>
              <w:rPr>
                <w:rFonts w:cs="Calibri"/>
                <w:b/>
                <w:color w:val="000000"/>
                <w:sz w:val="20"/>
                <w:szCs w:val="20"/>
              </w:rPr>
            </w:pPr>
          </w:p>
          <w:p w:rsidR="00AD418E" w:rsidRPr="0095034E" w:rsidRDefault="00AD418E" w:rsidP="00B76803">
            <w:pPr>
              <w:spacing w:after="0" w:line="240" w:lineRule="auto"/>
              <w:rPr>
                <w:rFonts w:cs="Calibri"/>
                <w:b/>
                <w:color w:val="000000"/>
                <w:sz w:val="20"/>
                <w:szCs w:val="20"/>
              </w:rPr>
            </w:pPr>
          </w:p>
          <w:p w:rsidR="00AD418E" w:rsidRPr="0095034E" w:rsidRDefault="00AD418E" w:rsidP="00B76803">
            <w:pPr>
              <w:spacing w:after="0" w:line="240" w:lineRule="auto"/>
              <w:rPr>
                <w:rFonts w:cs="Calibri"/>
                <w:b/>
                <w:color w:val="000000"/>
                <w:sz w:val="20"/>
                <w:szCs w:val="20"/>
              </w:rPr>
            </w:pPr>
          </w:p>
          <w:p w:rsidR="00461E1F" w:rsidRPr="0095034E" w:rsidRDefault="00461E1F" w:rsidP="00B76803">
            <w:pPr>
              <w:spacing w:after="0" w:line="240" w:lineRule="auto"/>
              <w:rPr>
                <w:rFonts w:cs="Calibri"/>
                <w:b/>
                <w:i/>
                <w:color w:val="000000"/>
                <w:sz w:val="20"/>
                <w:szCs w:val="20"/>
              </w:rPr>
            </w:pPr>
          </w:p>
          <w:p w:rsidR="00423135" w:rsidRPr="0095034E" w:rsidRDefault="00423135" w:rsidP="00B76803">
            <w:pPr>
              <w:pStyle w:val="Prrafodelista"/>
              <w:spacing w:after="0" w:line="240" w:lineRule="auto"/>
              <w:ind w:left="126"/>
              <w:rPr>
                <w:rFonts w:cs="Calibri"/>
                <w:color w:val="000000"/>
                <w:lang w:val="es-MX" w:eastAsia="es-MX"/>
              </w:rPr>
            </w:pPr>
          </w:p>
          <w:p w:rsidR="00423135" w:rsidRPr="0095034E" w:rsidRDefault="00423135" w:rsidP="00B76803">
            <w:pPr>
              <w:spacing w:after="0" w:line="240" w:lineRule="auto"/>
              <w:rPr>
                <w:rFonts w:cs="Calibri"/>
                <w:color w:val="000000"/>
                <w:sz w:val="20"/>
                <w:szCs w:val="20"/>
              </w:rPr>
            </w:pPr>
          </w:p>
          <w:p w:rsidR="00423135" w:rsidRPr="0095034E" w:rsidRDefault="00423135" w:rsidP="00B76803">
            <w:pPr>
              <w:spacing w:after="0" w:line="240" w:lineRule="auto"/>
              <w:rPr>
                <w:rFonts w:cs="Calibri"/>
                <w:color w:val="000000"/>
                <w:sz w:val="20"/>
                <w:szCs w:val="20"/>
              </w:rPr>
            </w:pPr>
          </w:p>
        </w:tc>
        <w:tc>
          <w:tcPr>
            <w:tcW w:w="286" w:type="pct"/>
            <w:shd w:val="clear" w:color="000000" w:fill="FFFFFF"/>
            <w:vAlign w:val="center"/>
            <w:hideMark/>
          </w:tcPr>
          <w:p w:rsidR="0091347C" w:rsidRPr="0095034E" w:rsidRDefault="0091347C" w:rsidP="00864C64">
            <w:pPr>
              <w:spacing w:after="0" w:line="240" w:lineRule="auto"/>
              <w:jc w:val="center"/>
              <w:rPr>
                <w:rFonts w:cs="Calibri"/>
                <w:color w:val="000000"/>
                <w:sz w:val="20"/>
                <w:szCs w:val="20"/>
              </w:rPr>
            </w:pPr>
            <w:r w:rsidRPr="0095034E">
              <w:rPr>
                <w:rFonts w:cs="Calibri"/>
                <w:color w:val="000000"/>
                <w:sz w:val="20"/>
                <w:szCs w:val="20"/>
              </w:rPr>
              <w:t>I</w:t>
            </w:r>
          </w:p>
        </w:tc>
        <w:tc>
          <w:tcPr>
            <w:tcW w:w="1120" w:type="pct"/>
            <w:shd w:val="clear" w:color="000000" w:fill="FFFFFF"/>
            <w:vAlign w:val="center"/>
            <w:hideMark/>
          </w:tcPr>
          <w:p w:rsidR="0091347C" w:rsidRPr="0095034E" w:rsidRDefault="0091347C" w:rsidP="00864C64">
            <w:pPr>
              <w:spacing w:after="0" w:line="240" w:lineRule="auto"/>
              <w:jc w:val="center"/>
              <w:rPr>
                <w:rFonts w:cs="Calibri"/>
                <w:color w:val="000000"/>
                <w:sz w:val="20"/>
                <w:szCs w:val="20"/>
              </w:rPr>
            </w:pPr>
            <w:r w:rsidRPr="0095034E">
              <w:rPr>
                <w:rFonts w:cs="Calibri"/>
                <w:color w:val="000000"/>
                <w:sz w:val="20"/>
                <w:szCs w:val="20"/>
              </w:rPr>
              <w:t xml:space="preserve"> </w:t>
            </w:r>
            <w:r w:rsidR="00CA0824" w:rsidRPr="0095034E">
              <w:rPr>
                <w:rFonts w:cs="Calibri"/>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91347C" w:rsidRPr="0095034E" w:rsidRDefault="0091347C" w:rsidP="000216A0">
            <w:pPr>
              <w:spacing w:after="0" w:line="240" w:lineRule="auto"/>
              <w:jc w:val="center"/>
              <w:rPr>
                <w:rFonts w:cs="Calibri"/>
                <w:bCs/>
                <w:sz w:val="20"/>
                <w:szCs w:val="20"/>
              </w:rPr>
            </w:pPr>
            <w:r w:rsidRPr="0095034E">
              <w:rPr>
                <w:rFonts w:cs="Calibri"/>
                <w:bCs/>
                <w:sz w:val="20"/>
                <w:szCs w:val="20"/>
              </w:rPr>
              <w:t xml:space="preserve">Aplica </w:t>
            </w:r>
          </w:p>
        </w:tc>
        <w:tc>
          <w:tcPr>
            <w:tcW w:w="1021" w:type="pct"/>
            <w:shd w:val="clear" w:color="000000" w:fill="FFFFFF"/>
            <w:vAlign w:val="center"/>
            <w:hideMark/>
          </w:tcPr>
          <w:p w:rsidR="0091347C" w:rsidRPr="002010DF" w:rsidRDefault="0091347C" w:rsidP="00414074">
            <w:pPr>
              <w:spacing w:after="0" w:line="240" w:lineRule="auto"/>
              <w:jc w:val="center"/>
              <w:rPr>
                <w:rFonts w:cs="Calibri"/>
                <w:color w:val="000000"/>
                <w:sz w:val="20"/>
                <w:szCs w:val="20"/>
              </w:rPr>
            </w:pPr>
            <w:r w:rsidRPr="0095034E">
              <w:rPr>
                <w:rFonts w:cs="Calibri"/>
                <w:color w:val="000000"/>
                <w:sz w:val="20"/>
                <w:szCs w:val="20"/>
              </w:rPr>
              <w:t> </w:t>
            </w:r>
            <w:r w:rsidR="00414074" w:rsidRPr="002010DF">
              <w:rPr>
                <w:rFonts w:cs="Calibri"/>
                <w:color w:val="000000"/>
                <w:sz w:val="20"/>
                <w:szCs w:val="20"/>
              </w:rPr>
              <w:t>Secretaría</w:t>
            </w:r>
            <w:r w:rsidR="0056370B" w:rsidRPr="002010DF">
              <w:rPr>
                <w:rFonts w:cs="Calibri"/>
                <w:color w:val="000000"/>
                <w:sz w:val="20"/>
                <w:szCs w:val="20"/>
              </w:rPr>
              <w:t xml:space="preserve"> </w:t>
            </w:r>
            <w:r w:rsidR="002010DF">
              <w:rPr>
                <w:rFonts w:cs="Calibri"/>
                <w:color w:val="000000"/>
                <w:sz w:val="20"/>
                <w:szCs w:val="20"/>
              </w:rPr>
              <w:t>/</w:t>
            </w:r>
          </w:p>
          <w:p w:rsidR="00414074" w:rsidRPr="0095034E" w:rsidRDefault="00E50E9B" w:rsidP="00414074">
            <w:pPr>
              <w:spacing w:after="0" w:line="240" w:lineRule="auto"/>
              <w:jc w:val="center"/>
              <w:rPr>
                <w:rFonts w:cs="Calibri"/>
                <w:color w:val="000000"/>
                <w:sz w:val="20"/>
                <w:szCs w:val="20"/>
              </w:rPr>
            </w:pPr>
            <w:r w:rsidRPr="002010DF">
              <w:rPr>
                <w:rFonts w:cs="Calibri"/>
                <w:color w:val="000000"/>
                <w:sz w:val="20"/>
                <w:szCs w:val="20"/>
              </w:rPr>
              <w:t>Jefatura de Administración, Finanzas y Contabilidad</w:t>
            </w:r>
          </w:p>
        </w:tc>
      </w:tr>
      <w:tr w:rsidR="00734655" w:rsidRPr="006F48A7" w:rsidTr="002010DF">
        <w:trPr>
          <w:trHeight w:val="1299"/>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II</w:t>
            </w:r>
          </w:p>
        </w:tc>
        <w:tc>
          <w:tcPr>
            <w:tcW w:w="1120" w:type="pct"/>
            <w:shd w:val="clear" w:color="000000" w:fill="FFFFFF"/>
            <w:vAlign w:val="center"/>
            <w:hideMark/>
          </w:tcPr>
          <w:p w:rsidR="00734655" w:rsidRPr="0095034E" w:rsidRDefault="00734655" w:rsidP="00A61DEC">
            <w:pPr>
              <w:spacing w:after="0" w:line="240" w:lineRule="auto"/>
              <w:jc w:val="center"/>
              <w:rPr>
                <w:rFonts w:cs="Calibri"/>
                <w:color w:val="000000"/>
                <w:sz w:val="20"/>
                <w:szCs w:val="20"/>
              </w:rPr>
            </w:pPr>
            <w:r w:rsidRPr="0095034E">
              <w:rPr>
                <w:rFonts w:cs="Calibri"/>
                <w:color w:val="000000"/>
                <w:sz w:val="20"/>
                <w:szCs w:val="20"/>
              </w:rPr>
              <w:t xml:space="preserve"> </w:t>
            </w:r>
            <w:r w:rsidR="00A61DEC" w:rsidRPr="0095034E">
              <w:rPr>
                <w:rFonts w:cs="Calibri"/>
                <w:color w:val="000000"/>
                <w:sz w:val="20"/>
                <w:szCs w:val="20"/>
              </w:rPr>
              <w:t>Las facultades de cada área;</w:t>
            </w:r>
          </w:p>
        </w:tc>
        <w:tc>
          <w:tcPr>
            <w:tcW w:w="1090" w:type="pct"/>
            <w:shd w:val="clear" w:color="000000" w:fill="FFFFFF"/>
            <w:vAlign w:val="center"/>
            <w:hideMark/>
          </w:tcPr>
          <w:p w:rsidR="00734655" w:rsidRPr="0095034E" w:rsidRDefault="00734655" w:rsidP="000216A0">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414074" w:rsidRPr="0095034E" w:rsidRDefault="00734655" w:rsidP="00414074">
            <w:pPr>
              <w:spacing w:after="0" w:line="240" w:lineRule="auto"/>
              <w:jc w:val="center"/>
              <w:rPr>
                <w:rFonts w:cs="Calibri"/>
                <w:color w:val="000000"/>
                <w:sz w:val="20"/>
                <w:szCs w:val="20"/>
              </w:rPr>
            </w:pPr>
            <w:r w:rsidRPr="0095034E">
              <w:rPr>
                <w:rFonts w:cs="Calibri"/>
                <w:color w:val="000000"/>
                <w:sz w:val="20"/>
                <w:szCs w:val="20"/>
              </w:rPr>
              <w:t> </w:t>
            </w:r>
            <w:r w:rsidR="00414074"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734655" w:rsidRPr="006F48A7" w:rsidTr="00285FEB">
        <w:trPr>
          <w:trHeight w:val="717"/>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III</w:t>
            </w:r>
          </w:p>
        </w:tc>
        <w:tc>
          <w:tcPr>
            <w:tcW w:w="1120" w:type="pct"/>
            <w:shd w:val="clear" w:color="000000" w:fill="FFFFFF"/>
            <w:vAlign w:val="center"/>
            <w:hideMark/>
          </w:tcPr>
          <w:p w:rsidR="00734655" w:rsidRPr="0095034E" w:rsidRDefault="00E50E9B" w:rsidP="00734655">
            <w:pPr>
              <w:spacing w:after="0" w:line="240" w:lineRule="auto"/>
              <w:jc w:val="center"/>
              <w:rPr>
                <w:rFonts w:cs="Calibri"/>
                <w:color w:val="000000"/>
                <w:sz w:val="20"/>
                <w:szCs w:val="20"/>
              </w:rPr>
            </w:pPr>
            <w:r w:rsidRPr="0095034E">
              <w:rPr>
                <w:rFonts w:cs="Calibri"/>
                <w:color w:val="0D0D0D"/>
                <w:sz w:val="20"/>
                <w:szCs w:val="20"/>
              </w:rPr>
              <w:t>El directorio de todos los servidores p</w:t>
            </w:r>
            <w:r w:rsidR="00A61DEC" w:rsidRPr="0095034E">
              <w:rPr>
                <w:rFonts w:cs="Calibri"/>
                <w:color w:val="0D0D0D"/>
                <w:sz w:val="20"/>
                <w:szCs w:val="20"/>
              </w:rPr>
              <w:t>úblicos, a partir del nivel de jefe de departamento o s</w:t>
            </w:r>
            <w:r w:rsidRPr="0095034E">
              <w:rPr>
                <w:rFonts w:cs="Calibri"/>
                <w:color w:val="0D0D0D"/>
                <w:sz w:val="20"/>
                <w:szCs w:val="20"/>
              </w:rPr>
              <w:t>u equivalente, o de menor nivel</w:t>
            </w:r>
            <w:r w:rsidR="00A61DEC" w:rsidRPr="0095034E">
              <w:rPr>
                <w:rFonts w:cs="Calibri"/>
                <w:color w:val="0D0D0D"/>
                <w:sz w:val="20"/>
                <w:szCs w:val="20"/>
              </w:rPr>
              <w:t xml:space="preserve"> </w:t>
            </w:r>
            <w:r w:rsidR="00A61DEC" w:rsidRPr="0095034E">
              <w:rPr>
                <w:rFonts w:cs="Calibri"/>
                <w:color w:val="0D0D0D"/>
                <w:sz w:val="20"/>
                <w:szCs w:val="20"/>
              </w:rPr>
              <w:lastRenderedPageBreak/>
              <w:t>cuando se brinde atención al públi</w:t>
            </w:r>
            <w:r w:rsidRPr="0095034E">
              <w:rPr>
                <w:rFonts w:cs="Calibri"/>
                <w:color w:val="0D0D0D"/>
                <w:sz w:val="20"/>
                <w:szCs w:val="20"/>
              </w:rPr>
              <w:t>co,</w:t>
            </w:r>
            <w:r w:rsidR="00A61DEC" w:rsidRPr="0095034E">
              <w:rPr>
                <w:rFonts w:cs="Calibri"/>
                <w:color w:val="0D0D0D"/>
                <w:sz w:val="20"/>
                <w:szCs w:val="20"/>
              </w:rPr>
              <w:t xml:space="preserve"> manej</w:t>
            </w:r>
            <w:r w:rsidRPr="0095034E">
              <w:rPr>
                <w:rFonts w:cs="Calibri"/>
                <w:color w:val="0D0D0D"/>
                <w:sz w:val="20"/>
                <w:szCs w:val="20"/>
              </w:rPr>
              <w:t>en o apliquen recursos públicos,</w:t>
            </w:r>
            <w:r w:rsidR="00A61DEC" w:rsidRPr="0095034E">
              <w:rPr>
                <w:rFonts w:cs="Calibri"/>
                <w:color w:val="0D0D0D"/>
                <w:sz w:val="20"/>
                <w:szCs w:val="20"/>
              </w:rPr>
              <w:t xml:space="preserve"> realicen actos de autoridad o presten servicios profesionales bajo el régimen de confianza u honorarios y personal de bas</w:t>
            </w:r>
            <w:r w:rsidRPr="0095034E">
              <w:rPr>
                <w:rFonts w:cs="Calibri"/>
                <w:color w:val="0D0D0D"/>
                <w:sz w:val="20"/>
                <w:szCs w:val="20"/>
              </w:rPr>
              <w:t>e. El directorio deberá incluir</w:t>
            </w:r>
            <w:r w:rsidR="00A61DEC" w:rsidRPr="0095034E">
              <w:rPr>
                <w:rFonts w:cs="Calibri"/>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Pr="0095034E" w:rsidRDefault="00FE741B" w:rsidP="00734655">
            <w:pPr>
              <w:jc w:val="center"/>
              <w:rPr>
                <w:rFonts w:cs="Calibri"/>
                <w:sz w:val="20"/>
                <w:szCs w:val="20"/>
              </w:rPr>
            </w:pPr>
            <w:r w:rsidRPr="0095034E">
              <w:rPr>
                <w:rFonts w:cs="Calibri"/>
                <w:sz w:val="20"/>
                <w:szCs w:val="20"/>
              </w:rPr>
              <w:lastRenderedPageBreak/>
              <w:t>Aplica</w:t>
            </w:r>
          </w:p>
        </w:tc>
        <w:tc>
          <w:tcPr>
            <w:tcW w:w="1021" w:type="pct"/>
            <w:shd w:val="clear" w:color="000000" w:fill="FFFFFF"/>
            <w:vAlign w:val="center"/>
            <w:hideMark/>
          </w:tcPr>
          <w:p w:rsidR="00414074"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734655" w:rsidRPr="006F48A7" w:rsidTr="00285FEB">
        <w:trPr>
          <w:trHeight w:val="1035"/>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IV</w:t>
            </w:r>
          </w:p>
        </w:tc>
        <w:tc>
          <w:tcPr>
            <w:tcW w:w="1120" w:type="pct"/>
            <w:shd w:val="clear" w:color="000000" w:fill="FFFFFF"/>
            <w:vAlign w:val="center"/>
            <w:hideMark/>
          </w:tcPr>
          <w:p w:rsidR="00734655" w:rsidRPr="0095034E" w:rsidRDefault="00A61DEC" w:rsidP="00734655">
            <w:pPr>
              <w:spacing w:after="0" w:line="240" w:lineRule="auto"/>
              <w:jc w:val="center"/>
              <w:rPr>
                <w:rFonts w:cs="Calibri"/>
                <w:color w:val="000000"/>
                <w:sz w:val="20"/>
                <w:szCs w:val="20"/>
              </w:rPr>
            </w:pPr>
            <w:r w:rsidRPr="0095034E">
              <w:rPr>
                <w:rFonts w:cs="Calibri"/>
                <w:color w:val="0D0D0D"/>
                <w:sz w:val="20"/>
                <w:szCs w:val="20"/>
              </w:rPr>
              <w:t>La informa</w:t>
            </w:r>
            <w:r w:rsidR="00E50E9B" w:rsidRPr="0095034E">
              <w:rPr>
                <w:rFonts w:cs="Calibri"/>
                <w:color w:val="0D0D0D"/>
                <w:sz w:val="20"/>
                <w:szCs w:val="20"/>
              </w:rPr>
              <w:t>ción curricular del servidor público,</w:t>
            </w:r>
            <w:r w:rsidRPr="0095034E">
              <w:rPr>
                <w:rFonts w:cs="Calibri"/>
                <w:color w:val="0D0D0D"/>
                <w:sz w:val="20"/>
                <w:szCs w:val="20"/>
              </w:rPr>
              <w:t xml:space="preserve">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2010DF" w:rsidRPr="002010DF" w:rsidRDefault="00734655" w:rsidP="001620D0">
            <w:pPr>
              <w:jc w:val="center"/>
              <w:rPr>
                <w:rFonts w:cs="Calibri"/>
                <w:bCs/>
                <w:sz w:val="20"/>
                <w:szCs w:val="20"/>
              </w:rPr>
            </w:pPr>
            <w:r w:rsidRPr="002010DF">
              <w:rPr>
                <w:rFonts w:cs="Calibri"/>
                <w:bCs/>
                <w:sz w:val="20"/>
                <w:szCs w:val="20"/>
              </w:rPr>
              <w:t>Aplica</w:t>
            </w:r>
          </w:p>
          <w:p w:rsidR="00734655" w:rsidRPr="0095034E" w:rsidRDefault="00557596" w:rsidP="001620D0">
            <w:pPr>
              <w:jc w:val="center"/>
              <w:rPr>
                <w:rFonts w:cs="Calibri"/>
                <w:sz w:val="20"/>
                <w:szCs w:val="20"/>
              </w:rPr>
            </w:pPr>
            <w:r w:rsidRPr="002010DF">
              <w:rPr>
                <w:rFonts w:cs="Calibri"/>
                <w:bCs/>
                <w:sz w:val="20"/>
                <w:szCs w:val="20"/>
              </w:rPr>
              <w:t>El perfil del puesto solo aplica</w:t>
            </w:r>
            <w:r w:rsidR="00922057" w:rsidRPr="002010DF">
              <w:rPr>
                <w:rFonts w:cs="Calibri"/>
                <w:bCs/>
                <w:sz w:val="20"/>
                <w:szCs w:val="20"/>
              </w:rPr>
              <w:t xml:space="preserve"> para Presidencia y Secretaría, de conformidad a lo dispuesto por los</w:t>
            </w:r>
            <w:r w:rsidRPr="002010DF">
              <w:rPr>
                <w:rFonts w:cs="Calibri"/>
                <w:bCs/>
                <w:sz w:val="20"/>
                <w:szCs w:val="20"/>
              </w:rPr>
              <w:t xml:space="preserve"> </w:t>
            </w:r>
            <w:r w:rsidR="00922057" w:rsidRPr="002010DF">
              <w:rPr>
                <w:rFonts w:cs="Calibri"/>
                <w:bCs/>
                <w:sz w:val="20"/>
                <w:szCs w:val="20"/>
              </w:rPr>
              <w:t>artículos 120 y 121 de la Ley de Salud del Estado de Sinaloa; y en el resto de los puestos aplica el numeral 25</w:t>
            </w:r>
            <w:r w:rsidR="00285833" w:rsidRPr="002010DF">
              <w:rPr>
                <w:rFonts w:cs="Calibri"/>
                <w:bCs/>
                <w:sz w:val="20"/>
                <w:szCs w:val="20"/>
              </w:rPr>
              <w:t>,</w:t>
            </w:r>
            <w:r w:rsidR="00922057" w:rsidRPr="002010DF">
              <w:rPr>
                <w:rFonts w:cs="Calibri"/>
                <w:bCs/>
                <w:sz w:val="20"/>
                <w:szCs w:val="20"/>
              </w:rPr>
              <w:t xml:space="preserve"> fracción VII del Reglamento Interno de la CAMES</w:t>
            </w:r>
          </w:p>
        </w:tc>
        <w:tc>
          <w:tcPr>
            <w:tcW w:w="1021" w:type="pct"/>
            <w:shd w:val="clear" w:color="000000" w:fill="FFFFFF"/>
            <w:vAlign w:val="center"/>
            <w:hideMark/>
          </w:tcPr>
          <w:p w:rsidR="00414074"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p w:rsidR="001620D0" w:rsidRPr="0095034E" w:rsidRDefault="001620D0" w:rsidP="00414074">
            <w:pPr>
              <w:spacing w:after="0" w:line="240" w:lineRule="auto"/>
              <w:jc w:val="center"/>
              <w:rPr>
                <w:rFonts w:cs="Calibri"/>
                <w:color w:val="000000"/>
                <w:sz w:val="20"/>
                <w:szCs w:val="20"/>
              </w:rPr>
            </w:pPr>
          </w:p>
        </w:tc>
      </w:tr>
      <w:tr w:rsidR="00734655" w:rsidRPr="006F48A7" w:rsidTr="00285FEB">
        <w:trPr>
          <w:trHeight w:val="2055"/>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V</w:t>
            </w:r>
          </w:p>
        </w:tc>
        <w:tc>
          <w:tcPr>
            <w:tcW w:w="1120" w:type="pct"/>
            <w:shd w:val="clear" w:color="000000" w:fill="FFFFFF"/>
            <w:vAlign w:val="center"/>
            <w:hideMark/>
          </w:tcPr>
          <w:p w:rsidR="00734655" w:rsidRPr="0095034E" w:rsidRDefault="00986B0F" w:rsidP="00734655">
            <w:pPr>
              <w:spacing w:after="0" w:line="240" w:lineRule="auto"/>
              <w:jc w:val="center"/>
              <w:rPr>
                <w:rFonts w:cs="Calibri"/>
                <w:color w:val="000000"/>
                <w:sz w:val="20"/>
                <w:szCs w:val="20"/>
              </w:rPr>
            </w:pPr>
            <w:r w:rsidRPr="0095034E">
              <w:rPr>
                <w:rFonts w:cs="Calibri"/>
                <w:color w:val="0D0D0D"/>
                <w:sz w:val="20"/>
                <w:szCs w:val="20"/>
              </w:rPr>
              <w:t>El listado de servidores p</w:t>
            </w:r>
            <w:r w:rsidR="00D9164E" w:rsidRPr="0095034E">
              <w:rPr>
                <w:rFonts w:cs="Calibri"/>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734655" w:rsidRPr="0095034E" w:rsidRDefault="00734655" w:rsidP="00FE741B">
            <w:pPr>
              <w:jc w:val="center"/>
              <w:rPr>
                <w:rFonts w:cs="Calibri"/>
                <w:sz w:val="20"/>
                <w:szCs w:val="20"/>
              </w:rPr>
            </w:pPr>
            <w:r w:rsidRPr="0095034E">
              <w:rPr>
                <w:rFonts w:cs="Calibri"/>
                <w:bCs/>
                <w:sz w:val="20"/>
                <w:szCs w:val="20"/>
              </w:rPr>
              <w:t>Aplica</w:t>
            </w:r>
          </w:p>
        </w:tc>
        <w:tc>
          <w:tcPr>
            <w:tcW w:w="1021" w:type="pct"/>
            <w:shd w:val="clear" w:color="000000" w:fill="FFFFFF"/>
            <w:vAlign w:val="center"/>
            <w:hideMark/>
          </w:tcPr>
          <w:p w:rsidR="00414074"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734655" w:rsidRPr="006F48A7" w:rsidTr="00285FEB">
        <w:trPr>
          <w:trHeight w:val="915"/>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VI</w:t>
            </w:r>
          </w:p>
        </w:tc>
        <w:tc>
          <w:tcPr>
            <w:tcW w:w="1120" w:type="pct"/>
            <w:shd w:val="clear" w:color="000000" w:fill="FFFFFF"/>
            <w:vAlign w:val="center"/>
            <w:hideMark/>
          </w:tcPr>
          <w:p w:rsidR="00734655" w:rsidRPr="0095034E" w:rsidRDefault="00D9164E" w:rsidP="00734655">
            <w:pPr>
              <w:spacing w:after="0" w:line="240" w:lineRule="auto"/>
              <w:jc w:val="center"/>
              <w:rPr>
                <w:rFonts w:cs="Calibri"/>
                <w:color w:val="000000"/>
                <w:sz w:val="20"/>
                <w:szCs w:val="20"/>
              </w:rPr>
            </w:pPr>
            <w:r w:rsidRPr="0095034E">
              <w:rPr>
                <w:rFonts w:cs="Calibri"/>
                <w:color w:val="0D0D0D"/>
                <w:sz w:val="20"/>
                <w:szCs w:val="20"/>
              </w:rPr>
              <w:t>La remunera</w:t>
            </w:r>
            <w:r w:rsidR="00986B0F" w:rsidRPr="0095034E">
              <w:rPr>
                <w:rFonts w:cs="Calibri"/>
                <w:color w:val="0D0D0D"/>
                <w:sz w:val="20"/>
                <w:szCs w:val="20"/>
              </w:rPr>
              <w:t>ción bruta y neta de todos los servidores p</w:t>
            </w:r>
            <w:r w:rsidRPr="0095034E">
              <w:rPr>
                <w:rFonts w:cs="Calibri"/>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2010DF" w:rsidRDefault="00B81FDE" w:rsidP="00B81FDE">
            <w:pPr>
              <w:jc w:val="center"/>
              <w:rPr>
                <w:rFonts w:cs="Calibri"/>
                <w:sz w:val="20"/>
                <w:szCs w:val="20"/>
              </w:rPr>
            </w:pPr>
            <w:r w:rsidRPr="002010DF">
              <w:rPr>
                <w:rFonts w:cs="Calibri"/>
                <w:sz w:val="20"/>
                <w:szCs w:val="20"/>
              </w:rPr>
              <w:t>Aplica</w:t>
            </w:r>
          </w:p>
          <w:p w:rsidR="00B81FDE" w:rsidRPr="002010DF" w:rsidRDefault="00B81FDE" w:rsidP="00B81FDE">
            <w:pPr>
              <w:jc w:val="center"/>
              <w:rPr>
                <w:rFonts w:cs="Calibri"/>
                <w:color w:val="FF0000"/>
                <w:sz w:val="20"/>
                <w:szCs w:val="20"/>
              </w:rPr>
            </w:pPr>
          </w:p>
        </w:tc>
        <w:tc>
          <w:tcPr>
            <w:tcW w:w="1021" w:type="pct"/>
            <w:shd w:val="clear" w:color="000000" w:fill="FFFFFF"/>
            <w:vAlign w:val="center"/>
            <w:hideMark/>
          </w:tcPr>
          <w:p w:rsidR="002B21D0" w:rsidRPr="002010DF" w:rsidRDefault="00734655" w:rsidP="002B21D0">
            <w:pPr>
              <w:spacing w:after="0" w:line="240" w:lineRule="auto"/>
              <w:jc w:val="center"/>
              <w:rPr>
                <w:rFonts w:cs="Calibri"/>
                <w:color w:val="000000"/>
                <w:sz w:val="20"/>
                <w:szCs w:val="20"/>
              </w:rPr>
            </w:pPr>
            <w:r w:rsidRPr="002010DF">
              <w:rPr>
                <w:rFonts w:cs="Calibri"/>
                <w:color w:val="000000"/>
                <w:sz w:val="20"/>
                <w:szCs w:val="20"/>
              </w:rPr>
              <w:t> </w:t>
            </w:r>
          </w:p>
          <w:p w:rsidR="00734655" w:rsidRPr="002010DF" w:rsidRDefault="00106D87" w:rsidP="002010DF">
            <w:pPr>
              <w:spacing w:after="0" w:line="240" w:lineRule="auto"/>
              <w:jc w:val="center"/>
              <w:rPr>
                <w:rFonts w:cs="Calibri"/>
                <w:color w:val="000000"/>
                <w:sz w:val="20"/>
                <w:szCs w:val="20"/>
              </w:rPr>
            </w:pPr>
            <w:r w:rsidRPr="002010DF">
              <w:rPr>
                <w:rFonts w:cs="Calibri"/>
                <w:color w:val="000000"/>
                <w:sz w:val="20"/>
                <w:szCs w:val="20"/>
              </w:rPr>
              <w:t>Jefatura de Administración, Finanzas y Contabilidad</w:t>
            </w:r>
          </w:p>
        </w:tc>
      </w:tr>
      <w:tr w:rsidR="00734655" w:rsidRPr="00FE741B" w:rsidTr="002010DF">
        <w:trPr>
          <w:trHeight w:val="2498"/>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VII</w:t>
            </w:r>
          </w:p>
        </w:tc>
        <w:tc>
          <w:tcPr>
            <w:tcW w:w="1120"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 xml:space="preserve"> </w:t>
            </w:r>
            <w:r w:rsidR="00CE2EC3" w:rsidRPr="0095034E">
              <w:rPr>
                <w:rFonts w:cs="Calibri"/>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95034E" w:rsidRDefault="00734655" w:rsidP="00FE741B">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414074" w:rsidRPr="0095034E" w:rsidRDefault="00414074" w:rsidP="00B2279B">
            <w:pPr>
              <w:spacing w:after="0" w:line="240" w:lineRule="auto"/>
              <w:rPr>
                <w:rFonts w:cs="Calibri"/>
                <w:color w:val="000000"/>
                <w:sz w:val="20"/>
                <w:szCs w:val="20"/>
              </w:rPr>
            </w:pPr>
          </w:p>
          <w:p w:rsidR="00734655" w:rsidRPr="0095034E" w:rsidRDefault="00414074" w:rsidP="00C4617C">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r w:rsidR="00B2279B" w:rsidRPr="0095034E">
              <w:rPr>
                <w:rFonts w:cs="Calibri"/>
                <w:color w:val="000000"/>
                <w:sz w:val="20"/>
                <w:szCs w:val="20"/>
              </w:rPr>
              <w:t xml:space="preserve"> </w:t>
            </w:r>
          </w:p>
        </w:tc>
      </w:tr>
      <w:tr w:rsidR="00734655" w:rsidRPr="006F48A7" w:rsidTr="00285FEB">
        <w:trPr>
          <w:trHeight w:val="1215"/>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VIII</w:t>
            </w:r>
          </w:p>
        </w:tc>
        <w:tc>
          <w:tcPr>
            <w:tcW w:w="1120" w:type="pct"/>
            <w:shd w:val="clear" w:color="000000" w:fill="FFFFFF"/>
            <w:vAlign w:val="center"/>
            <w:hideMark/>
          </w:tcPr>
          <w:p w:rsidR="00734655" w:rsidRPr="0095034E" w:rsidRDefault="00EB7311" w:rsidP="00734655">
            <w:pPr>
              <w:spacing w:after="0" w:line="240" w:lineRule="auto"/>
              <w:jc w:val="center"/>
              <w:rPr>
                <w:rFonts w:cs="Calibri"/>
                <w:color w:val="000000"/>
                <w:sz w:val="20"/>
                <w:szCs w:val="20"/>
              </w:rPr>
            </w:pPr>
            <w:r w:rsidRPr="0095034E">
              <w:rPr>
                <w:rFonts w:cs="Calibri"/>
                <w:color w:val="0D0D0D"/>
                <w:sz w:val="20"/>
                <w:szCs w:val="20"/>
              </w:rPr>
              <w:t>La información en versión p</w:t>
            </w:r>
            <w:r w:rsidR="001C1B1A" w:rsidRPr="0095034E">
              <w:rPr>
                <w:rFonts w:cs="Calibri"/>
                <w:color w:val="0D0D0D"/>
                <w:sz w:val="20"/>
                <w:szCs w:val="20"/>
              </w:rPr>
              <w:t>ública de las decl</w:t>
            </w:r>
            <w:r w:rsidRPr="0095034E">
              <w:rPr>
                <w:rFonts w:cs="Calibri"/>
                <w:color w:val="0D0D0D"/>
                <w:sz w:val="20"/>
                <w:szCs w:val="20"/>
              </w:rPr>
              <w:t>araciones patrimoniales de los servidores p</w:t>
            </w:r>
            <w:r w:rsidR="001C1B1A" w:rsidRPr="0095034E">
              <w:rPr>
                <w:rFonts w:cs="Calibri"/>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734655" w:rsidRPr="0095034E" w:rsidRDefault="00734655" w:rsidP="005934AD">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414074"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734655" w:rsidRPr="006F48A7" w:rsidTr="0082365B">
        <w:trPr>
          <w:trHeight w:val="782"/>
        </w:trPr>
        <w:tc>
          <w:tcPr>
            <w:tcW w:w="367"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558" w:type="pct"/>
            <w:vMerge/>
            <w:shd w:val="clear" w:color="000000" w:fill="FFFFFF"/>
            <w:vAlign w:val="center"/>
            <w:hideMark/>
          </w:tcPr>
          <w:p w:rsidR="00734655" w:rsidRPr="0095034E" w:rsidRDefault="00734655" w:rsidP="00734655">
            <w:pPr>
              <w:spacing w:after="0" w:line="240" w:lineRule="auto"/>
              <w:rPr>
                <w:rFonts w:cs="Calibri"/>
                <w:color w:val="000000"/>
                <w:sz w:val="20"/>
                <w:szCs w:val="20"/>
              </w:rPr>
            </w:pPr>
          </w:p>
        </w:tc>
        <w:tc>
          <w:tcPr>
            <w:tcW w:w="286" w:type="pct"/>
            <w:shd w:val="clear" w:color="000000" w:fill="FFFFFF"/>
            <w:vAlign w:val="center"/>
            <w:hideMark/>
          </w:tcPr>
          <w:p w:rsidR="00734655" w:rsidRPr="0095034E" w:rsidRDefault="00734655" w:rsidP="00734655">
            <w:pPr>
              <w:spacing w:after="0" w:line="240" w:lineRule="auto"/>
              <w:jc w:val="center"/>
              <w:rPr>
                <w:rFonts w:cs="Calibri"/>
                <w:color w:val="000000"/>
                <w:sz w:val="20"/>
                <w:szCs w:val="20"/>
              </w:rPr>
            </w:pPr>
            <w:r w:rsidRPr="0095034E">
              <w:rPr>
                <w:rFonts w:cs="Calibri"/>
                <w:color w:val="000000"/>
                <w:sz w:val="20"/>
                <w:szCs w:val="20"/>
              </w:rPr>
              <w:t>IX</w:t>
            </w:r>
          </w:p>
        </w:tc>
        <w:tc>
          <w:tcPr>
            <w:tcW w:w="1120" w:type="pct"/>
            <w:shd w:val="clear" w:color="000000" w:fill="FFFFFF"/>
            <w:vAlign w:val="center"/>
            <w:hideMark/>
          </w:tcPr>
          <w:p w:rsidR="00734655" w:rsidRPr="0095034E" w:rsidRDefault="001C1B1A" w:rsidP="00734655">
            <w:pPr>
              <w:spacing w:after="0" w:line="240" w:lineRule="auto"/>
              <w:jc w:val="center"/>
              <w:rPr>
                <w:rFonts w:cs="Calibri"/>
                <w:color w:val="000000"/>
                <w:sz w:val="20"/>
                <w:szCs w:val="20"/>
              </w:rPr>
            </w:pPr>
            <w:r w:rsidRPr="0095034E">
              <w:rPr>
                <w:rFonts w:cs="Calibri"/>
                <w:sz w:val="20"/>
                <w:szCs w:val="20"/>
                <w:lang w:val="es-ES"/>
              </w:rPr>
              <w:t>Los nombramientos, comisiones y licencias de los servidores públicos;</w:t>
            </w:r>
          </w:p>
        </w:tc>
        <w:tc>
          <w:tcPr>
            <w:tcW w:w="1090" w:type="pct"/>
            <w:shd w:val="clear" w:color="000000" w:fill="FFFFFF"/>
            <w:vAlign w:val="center"/>
            <w:hideMark/>
          </w:tcPr>
          <w:p w:rsidR="00734655" w:rsidRPr="0095034E" w:rsidRDefault="00734655" w:rsidP="005934AD">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414074"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Secretaría</w:t>
            </w:r>
            <w:r w:rsidR="002010DF">
              <w:rPr>
                <w:rFonts w:cs="Calibri"/>
                <w:color w:val="000000"/>
                <w:sz w:val="20"/>
                <w:szCs w:val="20"/>
              </w:rPr>
              <w:t xml:space="preserve"> /</w:t>
            </w:r>
          </w:p>
          <w:p w:rsidR="00734655" w:rsidRPr="0095034E" w:rsidRDefault="00414074" w:rsidP="00414074">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EA6FE3" w:rsidRPr="006F48A7" w:rsidTr="0082365B">
        <w:trPr>
          <w:trHeight w:val="88"/>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Unidad de Transparencia </w:t>
            </w:r>
          </w:p>
        </w:tc>
      </w:tr>
      <w:tr w:rsidR="00EA6FE3" w:rsidRPr="006F48A7" w:rsidTr="00285FEB">
        <w:trPr>
          <w:trHeight w:val="9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actas y resoluciones del Comité de Transparencia;</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Unidad de Transparencia </w:t>
            </w:r>
          </w:p>
        </w:tc>
      </w:tr>
      <w:tr w:rsidR="00EA6FE3" w:rsidRPr="006F48A7" w:rsidTr="00285FEB">
        <w:trPr>
          <w:trHeight w:val="88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XII</w:t>
            </w:r>
          </w:p>
        </w:tc>
        <w:tc>
          <w:tcPr>
            <w:tcW w:w="1120" w:type="pct"/>
            <w:shd w:val="clear" w:color="000000" w:fill="FFFFFF"/>
            <w:vAlign w:val="center"/>
            <w:hideMark/>
          </w:tcPr>
          <w:p w:rsidR="00EA6FE3" w:rsidRPr="0095034E" w:rsidRDefault="00EA6FE3" w:rsidP="00EA6FE3">
            <w:pPr>
              <w:ind w:right="-15"/>
              <w:jc w:val="center"/>
              <w:rPr>
                <w:rFonts w:cs="Calibri"/>
                <w:sz w:val="20"/>
                <w:szCs w:val="20"/>
                <w:lang w:val="es-ES"/>
              </w:rPr>
            </w:pPr>
            <w:r w:rsidRPr="0095034E">
              <w:rPr>
                <w:rFonts w:cs="Calibri"/>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90" w:type="pct"/>
            <w:shd w:val="clear" w:color="000000" w:fill="FFFFFF"/>
            <w:vAlign w:val="center"/>
            <w:hideMark/>
          </w:tcPr>
          <w:p w:rsidR="00EA6FE3" w:rsidRPr="0095034E" w:rsidRDefault="00EA6FE3" w:rsidP="00EA6FE3">
            <w:pPr>
              <w:jc w:val="center"/>
              <w:rPr>
                <w:rFonts w:cs="Calibri"/>
                <w:color w:val="FF0000"/>
                <w:sz w:val="20"/>
                <w:szCs w:val="20"/>
              </w:rPr>
            </w:pPr>
            <w:r w:rsidRPr="0095034E">
              <w:rPr>
                <w:rFonts w:cs="Calibri"/>
                <w:bCs/>
                <w:sz w:val="20"/>
                <w:szCs w:val="20"/>
              </w:rPr>
              <w:t>Aplica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Unidad de Transparencia </w:t>
            </w:r>
          </w:p>
        </w:tc>
      </w:tr>
      <w:tr w:rsidR="00EA6FE3" w:rsidRPr="006F48A7" w:rsidTr="0082365B">
        <w:trPr>
          <w:trHeight w:val="65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XIII</w:t>
            </w:r>
          </w:p>
        </w:tc>
        <w:tc>
          <w:tcPr>
            <w:tcW w:w="1120" w:type="pct"/>
            <w:shd w:val="clear" w:color="000000" w:fill="FFFFFF"/>
            <w:vAlign w:val="center"/>
            <w:hideMark/>
          </w:tcPr>
          <w:p w:rsidR="00EA6FE3" w:rsidRPr="0095034E" w:rsidRDefault="00EB7311" w:rsidP="00EA6FE3">
            <w:pPr>
              <w:spacing w:after="0" w:line="240" w:lineRule="auto"/>
              <w:jc w:val="center"/>
              <w:rPr>
                <w:rFonts w:cs="Calibri"/>
                <w:color w:val="000000"/>
                <w:sz w:val="20"/>
                <w:szCs w:val="20"/>
              </w:rPr>
            </w:pPr>
            <w:r w:rsidRPr="0095034E">
              <w:rPr>
                <w:rFonts w:cs="Calibri"/>
                <w:color w:val="0D0D0D"/>
                <w:sz w:val="20"/>
                <w:szCs w:val="20"/>
              </w:rPr>
              <w:t>Las convocatorias a concurso</w:t>
            </w:r>
            <w:r w:rsidR="00EA6FE3" w:rsidRPr="0095034E">
              <w:rPr>
                <w:rFonts w:cs="Calibri"/>
                <w:color w:val="0D0D0D"/>
                <w:sz w:val="20"/>
                <w:szCs w:val="20"/>
              </w:rPr>
              <w:t xml:space="preserve"> para ocupar cargos públicos y los resultados de los mismos, de acuerdo a la normativa aplicable;</w:t>
            </w:r>
          </w:p>
        </w:tc>
        <w:tc>
          <w:tcPr>
            <w:tcW w:w="1090" w:type="pct"/>
            <w:shd w:val="clear" w:color="000000" w:fill="FFFFFF"/>
            <w:vAlign w:val="center"/>
            <w:hideMark/>
          </w:tcPr>
          <w:p w:rsidR="008D0FAA" w:rsidRPr="002010DF" w:rsidRDefault="00EA6FE3" w:rsidP="00EA6FE3">
            <w:pPr>
              <w:jc w:val="center"/>
              <w:rPr>
                <w:rFonts w:cs="Calibri"/>
                <w:bCs/>
                <w:sz w:val="20"/>
                <w:szCs w:val="20"/>
              </w:rPr>
            </w:pPr>
            <w:r w:rsidRPr="002010DF">
              <w:rPr>
                <w:rFonts w:cs="Calibri"/>
                <w:bCs/>
                <w:sz w:val="20"/>
                <w:szCs w:val="20"/>
              </w:rPr>
              <w:t xml:space="preserve">No </w:t>
            </w:r>
            <w:r w:rsidR="002010DF">
              <w:rPr>
                <w:rFonts w:cs="Calibri"/>
                <w:bCs/>
                <w:sz w:val="20"/>
                <w:szCs w:val="20"/>
              </w:rPr>
              <w:t>a</w:t>
            </w:r>
            <w:r w:rsidRPr="002010DF">
              <w:rPr>
                <w:rFonts w:cs="Calibri"/>
                <w:bCs/>
                <w:sz w:val="20"/>
                <w:szCs w:val="20"/>
              </w:rPr>
              <w:t>plica</w:t>
            </w:r>
          </w:p>
          <w:p w:rsidR="00EA6FE3" w:rsidRPr="0095034E" w:rsidRDefault="00462645" w:rsidP="0082365B">
            <w:pPr>
              <w:spacing w:after="0"/>
              <w:jc w:val="center"/>
              <w:rPr>
                <w:rFonts w:cs="Calibri"/>
                <w:color w:val="FF0000"/>
                <w:sz w:val="20"/>
                <w:szCs w:val="20"/>
              </w:rPr>
            </w:pPr>
            <w:r w:rsidRPr="002010DF">
              <w:rPr>
                <w:rFonts w:cs="Calibri"/>
                <w:bCs/>
                <w:sz w:val="20"/>
                <w:szCs w:val="20"/>
              </w:rPr>
              <w:t xml:space="preserve"> </w:t>
            </w:r>
            <w:r w:rsidR="008D0FAA" w:rsidRPr="002010DF">
              <w:rPr>
                <w:rFonts w:cs="Calibri"/>
                <w:bCs/>
                <w:sz w:val="20"/>
                <w:szCs w:val="20"/>
              </w:rPr>
              <w:t>De conformidad a lo dispuesto en los artículos 119 y 122</w:t>
            </w:r>
            <w:r w:rsidR="00B81FDE" w:rsidRPr="002010DF">
              <w:rPr>
                <w:rFonts w:cs="Calibri"/>
                <w:bCs/>
                <w:sz w:val="20"/>
                <w:szCs w:val="20"/>
              </w:rPr>
              <w:t>,</w:t>
            </w:r>
            <w:r w:rsidR="008D0FAA" w:rsidRPr="002010DF">
              <w:rPr>
                <w:rFonts w:cs="Calibri"/>
                <w:bCs/>
                <w:sz w:val="20"/>
                <w:szCs w:val="20"/>
              </w:rPr>
              <w:t xml:space="preserve"> fracción VII</w:t>
            </w:r>
            <w:r w:rsidRPr="002010DF">
              <w:rPr>
                <w:rFonts w:cs="Calibri"/>
                <w:bCs/>
                <w:sz w:val="20"/>
                <w:szCs w:val="20"/>
              </w:rPr>
              <w:t xml:space="preserve"> </w:t>
            </w:r>
            <w:r w:rsidR="008D0FAA" w:rsidRPr="002010DF">
              <w:rPr>
                <w:rFonts w:cs="Calibri"/>
                <w:bCs/>
                <w:sz w:val="20"/>
                <w:szCs w:val="20"/>
              </w:rPr>
              <w:t xml:space="preserve">de la </w:t>
            </w:r>
            <w:r w:rsidRPr="002010DF">
              <w:rPr>
                <w:rFonts w:cs="Calibri"/>
                <w:bCs/>
                <w:sz w:val="20"/>
                <w:szCs w:val="20"/>
              </w:rPr>
              <w:t>Ley de Salud del Estado de Sinaloa, ya que</w:t>
            </w:r>
            <w:r w:rsidR="008D0FAA" w:rsidRPr="002010DF">
              <w:rPr>
                <w:rFonts w:cs="Calibri"/>
                <w:bCs/>
                <w:sz w:val="20"/>
                <w:szCs w:val="20"/>
              </w:rPr>
              <w:t xml:space="preserve"> en</w:t>
            </w:r>
            <w:r w:rsidRPr="002010DF">
              <w:rPr>
                <w:rFonts w:cs="Calibri"/>
                <w:bCs/>
                <w:sz w:val="20"/>
                <w:szCs w:val="20"/>
              </w:rPr>
              <w:t xml:space="preserve"> el segundo párrafo de</w:t>
            </w:r>
            <w:r w:rsidR="008D0FAA" w:rsidRPr="002010DF">
              <w:rPr>
                <w:rFonts w:cs="Calibri"/>
                <w:bCs/>
                <w:sz w:val="20"/>
                <w:szCs w:val="20"/>
              </w:rPr>
              <w:t>l</w:t>
            </w:r>
            <w:r w:rsidRPr="002010DF">
              <w:rPr>
                <w:rFonts w:cs="Calibri"/>
                <w:bCs/>
                <w:sz w:val="20"/>
                <w:szCs w:val="20"/>
              </w:rPr>
              <w:t xml:space="preserve"> </w:t>
            </w:r>
            <w:r w:rsidR="008D0FAA" w:rsidRPr="002010DF">
              <w:rPr>
                <w:rFonts w:cs="Calibri"/>
                <w:bCs/>
                <w:sz w:val="20"/>
                <w:szCs w:val="20"/>
              </w:rPr>
              <w:t xml:space="preserve">primer </w:t>
            </w:r>
            <w:r w:rsidRPr="002010DF">
              <w:rPr>
                <w:rFonts w:cs="Calibri"/>
                <w:bCs/>
                <w:sz w:val="20"/>
                <w:szCs w:val="20"/>
              </w:rPr>
              <w:t xml:space="preserve">artículo </w:t>
            </w:r>
            <w:r w:rsidR="008D0FAA" w:rsidRPr="002010DF">
              <w:rPr>
                <w:rFonts w:cs="Calibri"/>
                <w:bCs/>
                <w:sz w:val="20"/>
                <w:szCs w:val="20"/>
              </w:rPr>
              <w:t>se establece que tanto el Presidente como el S</w:t>
            </w:r>
            <w:r w:rsidRPr="002010DF">
              <w:rPr>
                <w:rFonts w:cs="Calibri"/>
                <w:bCs/>
                <w:sz w:val="20"/>
                <w:szCs w:val="20"/>
              </w:rPr>
              <w:t>ecretario serán designados por el Gober</w:t>
            </w:r>
            <w:r w:rsidR="008D0FAA" w:rsidRPr="002010DF">
              <w:rPr>
                <w:rFonts w:cs="Calibri"/>
                <w:bCs/>
                <w:sz w:val="20"/>
                <w:szCs w:val="20"/>
              </w:rPr>
              <w:t xml:space="preserve">nador Constitucional del Estado; y el resto del personal será nombrado por el Presidente de acuerdo a lo dispuesto en los </w:t>
            </w:r>
            <w:r w:rsidR="008D0FAA" w:rsidRPr="002010DF">
              <w:rPr>
                <w:rFonts w:cs="Calibri"/>
                <w:bCs/>
                <w:sz w:val="20"/>
                <w:szCs w:val="20"/>
              </w:rPr>
              <w:lastRenderedPageBreak/>
              <w:t>numerales 24 y 25</w:t>
            </w:r>
            <w:r w:rsidR="00B81FDE" w:rsidRPr="002010DF">
              <w:rPr>
                <w:rFonts w:cs="Calibri"/>
                <w:bCs/>
                <w:sz w:val="20"/>
                <w:szCs w:val="20"/>
              </w:rPr>
              <w:t>,</w:t>
            </w:r>
            <w:r w:rsidR="008D0FAA" w:rsidRPr="002010DF">
              <w:rPr>
                <w:rFonts w:cs="Calibri"/>
                <w:bCs/>
                <w:sz w:val="20"/>
                <w:szCs w:val="20"/>
              </w:rPr>
              <w:t xml:space="preserve"> fracción VII del Reglamento Interno de la CAMES</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FF0000"/>
                <w:sz w:val="28"/>
                <w:szCs w:val="28"/>
              </w:rPr>
            </w:pPr>
          </w:p>
        </w:tc>
      </w:tr>
      <w:tr w:rsidR="00EA6FE3" w:rsidRPr="006F48A7" w:rsidTr="00285FEB">
        <w:trPr>
          <w:trHeight w:val="9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XIV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El catálogo de disposición y guía de archivo documental;</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BE5107" w:rsidP="002010DF">
            <w:pPr>
              <w:spacing w:after="0" w:line="240" w:lineRule="auto"/>
              <w:jc w:val="center"/>
              <w:rPr>
                <w:rFonts w:cs="Calibri"/>
                <w:color w:val="000000"/>
                <w:sz w:val="20"/>
                <w:szCs w:val="20"/>
              </w:rPr>
            </w:pPr>
            <w:r>
              <w:rPr>
                <w:rFonts w:cs="Calibri"/>
                <w:color w:val="000000"/>
                <w:sz w:val="20"/>
                <w:szCs w:val="20"/>
              </w:rPr>
              <w:t>Dirección jurídica</w:t>
            </w:r>
          </w:p>
        </w:tc>
      </w:tr>
      <w:tr w:rsidR="00EA6FE3" w:rsidRPr="006F48A7" w:rsidTr="00285FEB">
        <w:trPr>
          <w:trHeight w:val="6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Actas de entrega recepción;</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BE5107" w:rsidP="002010DF">
            <w:pPr>
              <w:spacing w:after="0" w:line="240" w:lineRule="auto"/>
              <w:jc w:val="center"/>
              <w:rPr>
                <w:rFonts w:cs="Calibri"/>
                <w:color w:val="000000"/>
                <w:sz w:val="20"/>
                <w:szCs w:val="20"/>
              </w:rPr>
            </w:pPr>
            <w:r>
              <w:rPr>
                <w:rFonts w:cs="Calibri"/>
                <w:color w:val="000000"/>
                <w:sz w:val="20"/>
                <w:szCs w:val="20"/>
              </w:rPr>
              <w:t>Dirección jurídica</w:t>
            </w:r>
          </w:p>
        </w:tc>
      </w:tr>
      <w:tr w:rsidR="00EA6FE3" w:rsidRPr="006F48A7" w:rsidTr="00285FEB">
        <w:trPr>
          <w:trHeight w:val="15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XVI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 </w:t>
            </w:r>
            <w:r w:rsidRPr="0095034E">
              <w:rPr>
                <w:rFonts w:cs="Calibri"/>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010DF">
            <w:pPr>
              <w:spacing w:after="0" w:line="240" w:lineRule="auto"/>
              <w:jc w:val="center"/>
              <w:rPr>
                <w:rFonts w:cs="Calibri"/>
                <w:color w:val="000000"/>
                <w:sz w:val="20"/>
                <w:szCs w:val="20"/>
              </w:rPr>
            </w:pPr>
            <w:r w:rsidRPr="0095034E">
              <w:rPr>
                <w:rFonts w:cs="Calibri"/>
                <w:color w:val="000000"/>
                <w:sz w:val="20"/>
                <w:szCs w:val="20"/>
              </w:rPr>
              <w:t>Secretaría </w:t>
            </w:r>
            <w:r w:rsidR="00BE5107">
              <w:rPr>
                <w:rFonts w:cs="Calibri"/>
                <w:color w:val="000000"/>
                <w:sz w:val="20"/>
                <w:szCs w:val="20"/>
              </w:rPr>
              <w:t xml:space="preserve">/ </w:t>
            </w:r>
            <w:r w:rsidR="00BE5107" w:rsidRPr="002010DF">
              <w:rPr>
                <w:rFonts w:cs="Calibri"/>
                <w:color w:val="000000"/>
                <w:sz w:val="20"/>
                <w:szCs w:val="20"/>
              </w:rPr>
              <w:t>Dirección jurídica</w:t>
            </w:r>
            <w:r w:rsidR="00BA08EC">
              <w:rPr>
                <w:rFonts w:cs="Calibri"/>
                <w:color w:val="000000"/>
                <w:sz w:val="20"/>
                <w:szCs w:val="20"/>
              </w:rPr>
              <w:t xml:space="preserve"> </w:t>
            </w:r>
          </w:p>
        </w:tc>
      </w:tr>
      <w:tr w:rsidR="00EA6FE3" w:rsidRPr="006F48A7" w:rsidTr="00285FEB">
        <w:trPr>
          <w:trHeight w:val="6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XVII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 xml:space="preserve"> </w:t>
            </w:r>
            <w:r w:rsidRPr="0095034E">
              <w:rPr>
                <w:rFonts w:cs="Calibri"/>
                <w:color w:val="0D0D0D"/>
                <w:sz w:val="20"/>
                <w:szCs w:val="20"/>
              </w:rPr>
              <w:t>Las condiciones generales de trabajo, contratos o convenios que regulen las relaciones laborales del personal de base o de confianza, así como los recursos públicos eco</w:t>
            </w:r>
            <w:r w:rsidR="00BE5107">
              <w:rPr>
                <w:rFonts w:cs="Calibri"/>
                <w:color w:val="0D0D0D"/>
                <w:sz w:val="20"/>
                <w:szCs w:val="20"/>
              </w:rPr>
              <w:t xml:space="preserve">nómicos, en </w:t>
            </w:r>
            <w:r w:rsidR="00BE5107">
              <w:rPr>
                <w:rFonts w:cs="Calibri"/>
                <w:color w:val="0D0D0D"/>
                <w:sz w:val="20"/>
                <w:szCs w:val="20"/>
              </w:rPr>
              <w:lastRenderedPageBreak/>
              <w:t>especie o donativos</w:t>
            </w:r>
            <w:r w:rsidRPr="0095034E">
              <w:rPr>
                <w:rFonts w:cs="Calibri"/>
                <w:color w:val="0D0D0D"/>
                <w:sz w:val="20"/>
                <w:szCs w:val="20"/>
              </w:rPr>
              <w:t xml:space="preserve"> que sean entregados a los sindicatos y ejerzan como recursos públicos;</w:t>
            </w:r>
          </w:p>
        </w:tc>
        <w:tc>
          <w:tcPr>
            <w:tcW w:w="1090" w:type="pct"/>
            <w:shd w:val="clear" w:color="000000" w:fill="FFFFFF"/>
            <w:vAlign w:val="center"/>
            <w:hideMark/>
          </w:tcPr>
          <w:p w:rsidR="0064599D" w:rsidRPr="0064599D" w:rsidRDefault="0064599D" w:rsidP="00EA6FE3">
            <w:pPr>
              <w:jc w:val="center"/>
              <w:rPr>
                <w:rFonts w:cs="Calibri"/>
                <w:bCs/>
                <w:color w:val="00B050"/>
                <w:sz w:val="20"/>
                <w:szCs w:val="20"/>
              </w:rPr>
            </w:pPr>
            <w:r w:rsidRPr="0064599D">
              <w:rPr>
                <w:rFonts w:cs="Calibri"/>
                <w:bCs/>
                <w:color w:val="00B050"/>
                <w:sz w:val="20"/>
                <w:szCs w:val="20"/>
              </w:rPr>
              <w:lastRenderedPageBreak/>
              <w:t>Aplica</w:t>
            </w:r>
          </w:p>
          <w:p w:rsidR="00EA6FE3" w:rsidRPr="0064599D" w:rsidRDefault="002010DF" w:rsidP="0082365B">
            <w:pPr>
              <w:spacing w:line="240" w:lineRule="auto"/>
              <w:jc w:val="center"/>
              <w:rPr>
                <w:rFonts w:cs="Calibri"/>
                <w:bCs/>
                <w:strike/>
                <w:color w:val="FF0000"/>
                <w:sz w:val="20"/>
                <w:szCs w:val="20"/>
              </w:rPr>
            </w:pPr>
            <w:r w:rsidRPr="0064599D">
              <w:rPr>
                <w:rFonts w:cs="Calibri"/>
                <w:bCs/>
                <w:strike/>
                <w:color w:val="FF0000"/>
                <w:sz w:val="20"/>
                <w:szCs w:val="20"/>
              </w:rPr>
              <w:t>No a</w:t>
            </w:r>
            <w:r w:rsidR="00EA6FE3" w:rsidRPr="0064599D">
              <w:rPr>
                <w:rFonts w:cs="Calibri"/>
                <w:bCs/>
                <w:strike/>
                <w:color w:val="FF0000"/>
                <w:sz w:val="20"/>
                <w:szCs w:val="20"/>
              </w:rPr>
              <w:t>plica</w:t>
            </w:r>
          </w:p>
          <w:p w:rsidR="00BE5107" w:rsidRPr="0095034E" w:rsidRDefault="00BE5107" w:rsidP="0082365B">
            <w:pPr>
              <w:spacing w:after="0" w:line="240" w:lineRule="auto"/>
              <w:jc w:val="center"/>
              <w:rPr>
                <w:rFonts w:cs="Calibri"/>
                <w:sz w:val="20"/>
                <w:szCs w:val="20"/>
              </w:rPr>
            </w:pPr>
            <w:r w:rsidRPr="0064599D">
              <w:rPr>
                <w:rFonts w:cs="Calibri"/>
                <w:bCs/>
                <w:strike/>
                <w:color w:val="FF0000"/>
                <w:sz w:val="20"/>
                <w:szCs w:val="20"/>
              </w:rPr>
              <w:t xml:space="preserve">Esta Comisión no tiene atribuciones y el Presidente </w:t>
            </w:r>
            <w:r w:rsidRPr="0064599D">
              <w:rPr>
                <w:rFonts w:cs="Calibri"/>
                <w:bCs/>
                <w:strike/>
                <w:color w:val="FF0000"/>
                <w:sz w:val="20"/>
                <w:szCs w:val="20"/>
              </w:rPr>
              <w:lastRenderedPageBreak/>
              <w:t>carece de facultades plasmadas en los artículos 112 y 122 de la Ley de Salud del Estado de Sinaloa para generar la infor</w:t>
            </w:r>
            <w:r w:rsidR="00106D87" w:rsidRPr="0064599D">
              <w:rPr>
                <w:rFonts w:cs="Calibri"/>
                <w:bCs/>
                <w:strike/>
                <w:color w:val="FF0000"/>
                <w:sz w:val="20"/>
                <w:szCs w:val="20"/>
              </w:rPr>
              <w:t>mación relativa a esta fracción</w:t>
            </w:r>
          </w:p>
        </w:tc>
        <w:tc>
          <w:tcPr>
            <w:tcW w:w="1021" w:type="pct"/>
            <w:shd w:val="clear" w:color="000000" w:fill="FFFFFF"/>
            <w:vAlign w:val="center"/>
            <w:hideMark/>
          </w:tcPr>
          <w:p w:rsidR="00EA6FE3" w:rsidRPr="0095034E" w:rsidRDefault="0064599D" w:rsidP="0064599D">
            <w:pPr>
              <w:spacing w:after="0" w:line="240" w:lineRule="auto"/>
              <w:jc w:val="center"/>
              <w:rPr>
                <w:rFonts w:cs="Calibri"/>
                <w:color w:val="000000"/>
                <w:sz w:val="20"/>
                <w:szCs w:val="20"/>
              </w:rPr>
            </w:pPr>
            <w:r w:rsidRPr="00321439">
              <w:rPr>
                <w:rFonts w:cs="Calibri"/>
                <w:bCs/>
                <w:color w:val="00B050"/>
                <w:sz w:val="20"/>
                <w:szCs w:val="20"/>
              </w:rPr>
              <w:lastRenderedPageBreak/>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EA6FE3" w:rsidRPr="006F48A7" w:rsidTr="00285FEB">
        <w:trPr>
          <w:trHeight w:val="12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XVIII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convenios suscritos con los sectores social y privado;</w:t>
            </w:r>
          </w:p>
        </w:tc>
        <w:tc>
          <w:tcPr>
            <w:tcW w:w="1090" w:type="pct"/>
            <w:shd w:val="clear" w:color="000000" w:fill="FFFFFF"/>
            <w:vAlign w:val="center"/>
            <w:hideMark/>
          </w:tcPr>
          <w:p w:rsidR="00EA6FE3" w:rsidRPr="0095034E" w:rsidRDefault="00EA6FE3" w:rsidP="0082365B">
            <w:pPr>
              <w:spacing w:after="0"/>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2010DF" w:rsidP="002010DF">
            <w:pPr>
              <w:spacing w:after="0" w:line="240" w:lineRule="auto"/>
              <w:jc w:val="center"/>
              <w:rPr>
                <w:rFonts w:cs="Calibri"/>
                <w:color w:val="000000"/>
                <w:sz w:val="20"/>
                <w:szCs w:val="20"/>
              </w:rPr>
            </w:pPr>
            <w:r>
              <w:rPr>
                <w:rFonts w:cs="Calibri"/>
                <w:color w:val="000000"/>
                <w:sz w:val="20"/>
                <w:szCs w:val="20"/>
              </w:rPr>
              <w:t>Secretaría / Dirección Jurídica</w:t>
            </w:r>
          </w:p>
        </w:tc>
      </w:tr>
      <w:tr w:rsidR="00EA6FE3" w:rsidRPr="006F48A7" w:rsidTr="00285FEB">
        <w:trPr>
          <w:trHeight w:val="103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XIX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recomendaciones emitidas por l</w:t>
            </w:r>
            <w:r w:rsidR="00BE5107">
              <w:rPr>
                <w:rFonts w:cs="Calibri"/>
                <w:color w:val="0D0D0D"/>
                <w:sz w:val="20"/>
                <w:szCs w:val="20"/>
              </w:rPr>
              <w:t>os órganos públicos del Estado M</w:t>
            </w:r>
            <w:r w:rsidRPr="0095034E">
              <w:rPr>
                <w:rFonts w:cs="Calibri"/>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EA6FE3" w:rsidRPr="0095034E" w:rsidRDefault="002010DF" w:rsidP="002010DF">
            <w:pPr>
              <w:jc w:val="center"/>
              <w:rPr>
                <w:rFonts w:cs="Calibri"/>
                <w:sz w:val="20"/>
                <w:szCs w:val="20"/>
              </w:rPr>
            </w:pPr>
            <w:r>
              <w:rPr>
                <w:rFonts w:cs="Calibri"/>
                <w:bCs/>
                <w:sz w:val="20"/>
                <w:szCs w:val="20"/>
              </w:rPr>
              <w:t>Aplica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Presidencia </w:t>
            </w:r>
          </w:p>
        </w:tc>
      </w:tr>
      <w:tr w:rsidR="00EA6FE3" w:rsidRPr="006F48A7" w:rsidTr="00285FEB">
        <w:trPr>
          <w:trHeight w:val="52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resoluciones y laudos que se emitan en procesos o procedimientos seguidos en forma de juicio;</w:t>
            </w:r>
          </w:p>
        </w:tc>
        <w:tc>
          <w:tcPr>
            <w:tcW w:w="1090" w:type="pct"/>
            <w:shd w:val="clear" w:color="000000" w:fill="FFFFFF"/>
            <w:vAlign w:val="center"/>
            <w:hideMark/>
          </w:tcPr>
          <w:p w:rsidR="00EA6FE3" w:rsidRPr="0095034E" w:rsidRDefault="002010DF" w:rsidP="002010DF">
            <w:pPr>
              <w:jc w:val="center"/>
              <w:rPr>
                <w:rFonts w:cs="Calibri"/>
                <w:sz w:val="20"/>
                <w:szCs w:val="20"/>
              </w:rPr>
            </w:pPr>
            <w:r>
              <w:rPr>
                <w:rFonts w:cs="Calibri"/>
                <w:bCs/>
                <w:sz w:val="20"/>
                <w:szCs w:val="20"/>
              </w:rPr>
              <w:t>Aplica</w:t>
            </w:r>
            <w:r w:rsidR="00EA6FE3" w:rsidRPr="0095034E">
              <w:rPr>
                <w:rFonts w:cs="Calibri"/>
                <w:bCs/>
                <w:sz w:val="20"/>
                <w:szCs w:val="20"/>
              </w:rPr>
              <w:t xml:space="preserve">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Presidencia </w:t>
            </w:r>
          </w:p>
        </w:tc>
      </w:tr>
      <w:tr w:rsidR="00EA6FE3" w:rsidRPr="006F48A7" w:rsidTr="00285FEB">
        <w:trPr>
          <w:trHeight w:val="15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La información financiera sobre el presupuesto asignado, así como los informes del ejercicio trimestral del gasto, en términos de la Ley General de Contabilidad Gubernamental y de</w:t>
            </w:r>
            <w:r w:rsidR="00BE5107">
              <w:rPr>
                <w:rFonts w:cs="Calibri"/>
                <w:color w:val="000000"/>
                <w:sz w:val="20"/>
                <w:szCs w:val="20"/>
              </w:rPr>
              <w:t>más normativa</w:t>
            </w:r>
            <w:r w:rsidRPr="0095034E">
              <w:rPr>
                <w:rFonts w:cs="Calibri"/>
                <w:color w:val="000000"/>
                <w:sz w:val="20"/>
                <w:szCs w:val="20"/>
              </w:rPr>
              <w:t xml:space="preserve"> aplicable;</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6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Informe de avances programáticos o presupuestales, balances generales y su estado financiero;</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9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XXIII</w:t>
            </w:r>
          </w:p>
        </w:tc>
        <w:tc>
          <w:tcPr>
            <w:tcW w:w="1120" w:type="pct"/>
            <w:shd w:val="clear" w:color="000000" w:fill="FFFFFF"/>
            <w:vAlign w:val="center"/>
            <w:hideMark/>
          </w:tcPr>
          <w:p w:rsidR="00EA6FE3" w:rsidRPr="0095034E" w:rsidRDefault="00EA6FE3" w:rsidP="00BE5107">
            <w:pPr>
              <w:spacing w:after="0" w:line="240" w:lineRule="auto"/>
              <w:jc w:val="center"/>
              <w:rPr>
                <w:rFonts w:cs="Calibri"/>
                <w:color w:val="000000"/>
                <w:sz w:val="20"/>
                <w:szCs w:val="20"/>
              </w:rPr>
            </w:pPr>
            <w:r w:rsidRPr="0095034E">
              <w:rPr>
                <w:rFonts w:cs="Calibri"/>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sz w:val="20"/>
                <w:szCs w:val="20"/>
              </w:rPr>
              <w:t>Aplica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1434"/>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XXIV</w:t>
            </w:r>
          </w:p>
        </w:tc>
        <w:tc>
          <w:tcPr>
            <w:tcW w:w="1120" w:type="pct"/>
            <w:shd w:val="clear" w:color="000000" w:fill="FFFFFF"/>
            <w:vAlign w:val="center"/>
            <w:hideMark/>
          </w:tcPr>
          <w:p w:rsidR="00EA6FE3" w:rsidRPr="0095034E" w:rsidRDefault="00106D87" w:rsidP="00EA6FE3">
            <w:pPr>
              <w:ind w:right="-15"/>
              <w:jc w:val="center"/>
              <w:rPr>
                <w:rFonts w:cs="Calibri"/>
                <w:sz w:val="20"/>
                <w:szCs w:val="20"/>
                <w:lang w:val="es-ES"/>
              </w:rPr>
            </w:pPr>
            <w:r>
              <w:rPr>
                <w:rFonts w:cs="Calibri"/>
                <w:sz w:val="20"/>
                <w:szCs w:val="20"/>
                <w:lang w:val="es-ES"/>
              </w:rPr>
              <w:t>Relación de personas físicas y</w:t>
            </w:r>
            <w:r w:rsidR="00EA6FE3" w:rsidRPr="0095034E">
              <w:rPr>
                <w:rFonts w:cs="Calibri"/>
                <w:sz w:val="20"/>
                <w:szCs w:val="20"/>
                <w:lang w:val="es-ES"/>
              </w:rPr>
              <w:t xml:space="preserve"> morales que hayan recibido recursos públicos, incluyendo f</w:t>
            </w:r>
            <w:r>
              <w:rPr>
                <w:rFonts w:cs="Calibri"/>
                <w:sz w:val="20"/>
                <w:szCs w:val="20"/>
                <w:lang w:val="es-ES"/>
              </w:rPr>
              <w:t>echa, nombre o razón social, la</w:t>
            </w:r>
            <w:r w:rsidR="00EA6FE3" w:rsidRPr="0095034E">
              <w:rPr>
                <w:rFonts w:cs="Calibri"/>
                <w:sz w:val="20"/>
                <w:szCs w:val="20"/>
                <w:lang w:val="es-ES"/>
              </w:rPr>
              <w:t xml:space="preserve"> descripción del concepto y monto;</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9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EA6FE3" w:rsidRDefault="002010DF" w:rsidP="00EA6FE3">
            <w:pPr>
              <w:jc w:val="center"/>
              <w:rPr>
                <w:rFonts w:cs="Calibri"/>
                <w:bCs/>
                <w:sz w:val="20"/>
                <w:szCs w:val="20"/>
              </w:rPr>
            </w:pPr>
            <w:r>
              <w:rPr>
                <w:rFonts w:cs="Calibri"/>
                <w:bCs/>
                <w:sz w:val="20"/>
                <w:szCs w:val="20"/>
              </w:rPr>
              <w:t>No a</w:t>
            </w:r>
            <w:r w:rsidR="00EA6FE3" w:rsidRPr="0095034E">
              <w:rPr>
                <w:rFonts w:cs="Calibri"/>
                <w:bCs/>
                <w:sz w:val="20"/>
                <w:szCs w:val="20"/>
              </w:rPr>
              <w:t>plica</w:t>
            </w:r>
          </w:p>
          <w:p w:rsidR="00106D87" w:rsidRPr="0095034E" w:rsidRDefault="002010DF" w:rsidP="002010DF">
            <w:pPr>
              <w:jc w:val="center"/>
              <w:rPr>
                <w:rFonts w:cs="Calibri"/>
                <w:sz w:val="20"/>
                <w:szCs w:val="20"/>
              </w:rPr>
            </w:pPr>
            <w:r>
              <w:rPr>
                <w:rFonts w:cs="Calibri"/>
                <w:bCs/>
                <w:sz w:val="20"/>
                <w:szCs w:val="20"/>
              </w:rPr>
              <w:t>Toda vez que no cuenta con</w:t>
            </w:r>
            <w:r w:rsidR="00106D87" w:rsidRPr="0095034E">
              <w:rPr>
                <w:rFonts w:cs="Calibri"/>
                <w:bCs/>
                <w:sz w:val="20"/>
                <w:szCs w:val="20"/>
              </w:rPr>
              <w:t xml:space="preserve"> atribuciones y el President</w:t>
            </w:r>
            <w:r>
              <w:rPr>
                <w:rFonts w:cs="Calibri"/>
                <w:bCs/>
                <w:sz w:val="20"/>
                <w:szCs w:val="20"/>
              </w:rPr>
              <w:t>e carece de facultades establecidas</w:t>
            </w:r>
            <w:r w:rsidR="00106D87" w:rsidRPr="0095034E">
              <w:rPr>
                <w:rFonts w:cs="Calibri"/>
                <w:bCs/>
                <w:sz w:val="20"/>
                <w:szCs w:val="20"/>
              </w:rPr>
              <w:t xml:space="preserve"> en los artículos 112 y 122 de la Ley de Salud del Estado de Sinaloa</w:t>
            </w:r>
          </w:p>
        </w:tc>
        <w:tc>
          <w:tcPr>
            <w:tcW w:w="1021" w:type="pct"/>
            <w:shd w:val="clear" w:color="000000" w:fill="FFFFFF"/>
            <w:vAlign w:val="center"/>
            <w:hideMark/>
          </w:tcPr>
          <w:p w:rsidR="00EA6FE3" w:rsidRPr="0095034E" w:rsidRDefault="00EA6FE3" w:rsidP="006276D3">
            <w:pPr>
              <w:spacing w:after="0" w:line="240" w:lineRule="auto"/>
              <w:jc w:val="both"/>
              <w:rPr>
                <w:rFonts w:cs="Calibri"/>
                <w:color w:val="000000"/>
                <w:sz w:val="20"/>
                <w:szCs w:val="20"/>
              </w:rPr>
            </w:pPr>
          </w:p>
        </w:tc>
      </w:tr>
      <w:tr w:rsidR="00EA6FE3" w:rsidRPr="00BF4518" w:rsidTr="00285FEB">
        <w:trPr>
          <w:trHeight w:val="33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XXVI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010DF">
            <w:pPr>
              <w:spacing w:after="0" w:line="240" w:lineRule="auto"/>
              <w:jc w:val="center"/>
              <w:rPr>
                <w:rFonts w:cs="Calibri"/>
                <w:color w:val="000000"/>
                <w:sz w:val="20"/>
                <w:szCs w:val="20"/>
              </w:rPr>
            </w:pPr>
            <w:r w:rsidRPr="0095034E">
              <w:rPr>
                <w:rFonts w:cs="Calibri"/>
                <w:color w:val="000000"/>
                <w:sz w:val="20"/>
                <w:szCs w:val="20"/>
              </w:rPr>
              <w:t>Jefatura de Administrac</w:t>
            </w:r>
            <w:r w:rsidR="002010DF">
              <w:rPr>
                <w:rFonts w:cs="Calibri"/>
                <w:color w:val="000000"/>
                <w:sz w:val="20"/>
                <w:szCs w:val="20"/>
              </w:rPr>
              <w:t>ión, Finanzas y Contabilidad</w:t>
            </w:r>
          </w:p>
        </w:tc>
      </w:tr>
      <w:tr w:rsidR="00EA6FE3" w:rsidRPr="006F48A7" w:rsidTr="00285FEB">
        <w:trPr>
          <w:trHeight w:val="27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XXVII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El listado de jubilados y pensionados</w:t>
            </w:r>
            <w:r w:rsidR="00106D87">
              <w:rPr>
                <w:rFonts w:cs="Calibri"/>
                <w:color w:val="0D0D0D"/>
                <w:sz w:val="20"/>
                <w:szCs w:val="20"/>
              </w:rPr>
              <w:t>,</w:t>
            </w:r>
            <w:r w:rsidRPr="0095034E">
              <w:rPr>
                <w:rFonts w:cs="Calibri"/>
                <w:color w:val="0D0D0D"/>
                <w:sz w:val="20"/>
                <w:szCs w:val="20"/>
              </w:rPr>
              <w:t xml:space="preserve"> y el monto que reciben;</w:t>
            </w:r>
          </w:p>
        </w:tc>
        <w:tc>
          <w:tcPr>
            <w:tcW w:w="1090" w:type="pct"/>
            <w:shd w:val="clear" w:color="000000" w:fill="FFFFFF"/>
            <w:vAlign w:val="center"/>
            <w:hideMark/>
          </w:tcPr>
          <w:p w:rsidR="002F398A" w:rsidRDefault="00621150" w:rsidP="002F398A">
            <w:pPr>
              <w:jc w:val="center"/>
              <w:rPr>
                <w:rFonts w:cs="Calibri"/>
                <w:bCs/>
                <w:sz w:val="20"/>
                <w:szCs w:val="20"/>
              </w:rPr>
            </w:pPr>
            <w:r>
              <w:rPr>
                <w:rFonts w:cs="Calibri"/>
                <w:bCs/>
                <w:sz w:val="20"/>
                <w:szCs w:val="20"/>
              </w:rPr>
              <w:t>A</w:t>
            </w:r>
            <w:r w:rsidR="002F398A" w:rsidRPr="0095034E">
              <w:rPr>
                <w:rFonts w:cs="Calibri"/>
                <w:bCs/>
                <w:sz w:val="20"/>
                <w:szCs w:val="20"/>
              </w:rPr>
              <w:t>plica</w:t>
            </w:r>
          </w:p>
          <w:p w:rsidR="00106D87" w:rsidRPr="0095034E" w:rsidRDefault="00BA5ABC" w:rsidP="00BA5ABC">
            <w:pPr>
              <w:jc w:val="center"/>
              <w:rPr>
                <w:rFonts w:cs="Calibri"/>
                <w:color w:val="FF0000"/>
                <w:sz w:val="20"/>
                <w:szCs w:val="20"/>
              </w:rPr>
            </w:pPr>
            <w:r>
              <w:rPr>
                <w:rFonts w:cs="Calibri"/>
                <w:color w:val="000000"/>
                <w:sz w:val="20"/>
                <w:szCs w:val="20"/>
              </w:rPr>
              <w:t>D</w:t>
            </w:r>
            <w:r w:rsidR="00621150">
              <w:rPr>
                <w:rFonts w:cs="Calibri"/>
                <w:color w:val="000000"/>
                <w:sz w:val="20"/>
                <w:szCs w:val="20"/>
              </w:rPr>
              <w:t>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EA6FE3" w:rsidRPr="0095034E" w:rsidRDefault="0050360C" w:rsidP="006276D3">
            <w:pPr>
              <w:spacing w:after="0" w:line="240" w:lineRule="auto"/>
              <w:jc w:val="both"/>
              <w:rPr>
                <w:rFonts w:cs="Calibri"/>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r w:rsidRPr="0095034E">
              <w:rPr>
                <w:rFonts w:cs="Calibri"/>
                <w:color w:val="000000"/>
                <w:sz w:val="20"/>
                <w:szCs w:val="20"/>
              </w:rPr>
              <w:t xml:space="preserve"> </w:t>
            </w:r>
          </w:p>
        </w:tc>
      </w:tr>
      <w:tr w:rsidR="00EA6FE3" w:rsidRPr="006F48A7" w:rsidTr="00285FEB">
        <w:trPr>
          <w:trHeight w:val="21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XXVIII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sz w:val="20"/>
                <w:szCs w:val="20"/>
              </w:rPr>
              <w:t>Aplica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103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XXIX</w:t>
            </w:r>
          </w:p>
        </w:tc>
        <w:tc>
          <w:tcPr>
            <w:tcW w:w="112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106D87" w:rsidRPr="0095034E" w:rsidRDefault="00BA5ABC" w:rsidP="00BA5ABC">
            <w:pPr>
              <w:jc w:val="center"/>
              <w:rPr>
                <w:rFonts w:cs="Calibri"/>
                <w:sz w:val="20"/>
                <w:szCs w:val="20"/>
              </w:rPr>
            </w:pPr>
            <w:r>
              <w:rPr>
                <w:rFonts w:cs="Calibri"/>
                <w:bCs/>
                <w:sz w:val="20"/>
                <w:szCs w:val="20"/>
              </w:rPr>
              <w:t>A</w:t>
            </w:r>
            <w:r w:rsidR="002F398A" w:rsidRPr="0095034E">
              <w:rPr>
                <w:rFonts w:cs="Calibri"/>
                <w:bCs/>
                <w:sz w:val="20"/>
                <w:szCs w:val="20"/>
              </w:rPr>
              <w:t>plica</w:t>
            </w:r>
          </w:p>
        </w:tc>
        <w:tc>
          <w:tcPr>
            <w:tcW w:w="1021" w:type="pct"/>
            <w:shd w:val="clear" w:color="000000" w:fill="FFFFFF"/>
            <w:vAlign w:val="center"/>
            <w:hideMark/>
          </w:tcPr>
          <w:p w:rsidR="00EA6FE3" w:rsidRPr="0095034E" w:rsidRDefault="0050360C" w:rsidP="00BA5ABC">
            <w:pPr>
              <w:spacing w:after="0" w:line="240" w:lineRule="auto"/>
              <w:jc w:val="center"/>
              <w:rPr>
                <w:rFonts w:cs="Calibri"/>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EA6FE3" w:rsidRPr="006F48A7" w:rsidTr="00285FEB">
        <w:trPr>
          <w:trHeight w:val="1800"/>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EA6FE3" w:rsidRPr="0095034E" w:rsidRDefault="00BA5ABC" w:rsidP="00EA6FE3">
            <w:pPr>
              <w:jc w:val="center"/>
              <w:rPr>
                <w:rFonts w:cs="Calibri"/>
                <w:sz w:val="20"/>
                <w:szCs w:val="20"/>
              </w:rPr>
            </w:pPr>
            <w:r>
              <w:rPr>
                <w:rFonts w:cs="Calibri"/>
                <w:bCs/>
                <w:sz w:val="20"/>
                <w:szCs w:val="20"/>
              </w:rPr>
              <w:t>Aplica</w:t>
            </w:r>
          </w:p>
        </w:tc>
        <w:tc>
          <w:tcPr>
            <w:tcW w:w="1021" w:type="pct"/>
            <w:shd w:val="clear" w:color="000000" w:fill="FFFFFF"/>
            <w:vAlign w:val="center"/>
            <w:hideMark/>
          </w:tcPr>
          <w:p w:rsidR="00EA6FE3" w:rsidRPr="0095034E" w:rsidRDefault="00EA6FE3" w:rsidP="006276D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w:t>
            </w:r>
          </w:p>
        </w:tc>
      </w:tr>
      <w:tr w:rsidR="00EA6FE3" w:rsidRPr="006F48A7" w:rsidTr="00285FEB">
        <w:trPr>
          <w:trHeight w:val="18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Donaciones hechas a terceros en dinero o en especie;</w:t>
            </w:r>
          </w:p>
        </w:tc>
        <w:tc>
          <w:tcPr>
            <w:tcW w:w="1090" w:type="pct"/>
            <w:shd w:val="clear" w:color="000000" w:fill="FFFFFF"/>
            <w:vAlign w:val="center"/>
            <w:hideMark/>
          </w:tcPr>
          <w:p w:rsidR="00EA6FE3" w:rsidRPr="0095034E" w:rsidRDefault="00BA5ABC" w:rsidP="00BA5ABC">
            <w:pPr>
              <w:spacing w:line="240" w:lineRule="auto"/>
              <w:jc w:val="center"/>
              <w:rPr>
                <w:rFonts w:cs="Calibri"/>
                <w:sz w:val="20"/>
                <w:szCs w:val="20"/>
              </w:rPr>
            </w:pPr>
            <w:r>
              <w:rPr>
                <w:rFonts w:cs="Calibri"/>
                <w:bCs/>
                <w:sz w:val="20"/>
                <w:szCs w:val="20"/>
              </w:rPr>
              <w:t>No a</w:t>
            </w:r>
            <w:r w:rsidR="002F398A" w:rsidRPr="00621150">
              <w:rPr>
                <w:rFonts w:cs="Calibri"/>
                <w:bCs/>
                <w:sz w:val="20"/>
                <w:szCs w:val="20"/>
              </w:rPr>
              <w:t>plica</w:t>
            </w:r>
          </w:p>
        </w:tc>
        <w:tc>
          <w:tcPr>
            <w:tcW w:w="1021" w:type="pct"/>
            <w:shd w:val="clear" w:color="000000" w:fill="FFFFFF"/>
            <w:vAlign w:val="center"/>
            <w:hideMark/>
          </w:tcPr>
          <w:p w:rsidR="005C7458" w:rsidRPr="00E21C9C" w:rsidRDefault="00EA6FE3" w:rsidP="005C7458">
            <w:pPr>
              <w:spacing w:after="0" w:line="240" w:lineRule="auto"/>
              <w:jc w:val="center"/>
              <w:rPr>
                <w:rFonts w:cs="Calibri"/>
                <w:bCs/>
                <w:sz w:val="20"/>
                <w:szCs w:val="20"/>
              </w:rPr>
            </w:pPr>
            <w:r w:rsidRPr="0095034E">
              <w:rPr>
                <w:rFonts w:cs="Calibri"/>
                <w:color w:val="000000"/>
                <w:sz w:val="20"/>
                <w:szCs w:val="20"/>
              </w:rPr>
              <w:t> </w:t>
            </w:r>
          </w:p>
          <w:p w:rsidR="00EA6FE3" w:rsidRPr="0095034E" w:rsidRDefault="00EA6FE3" w:rsidP="00106D87">
            <w:pPr>
              <w:spacing w:after="0" w:line="240" w:lineRule="auto"/>
              <w:jc w:val="both"/>
              <w:rPr>
                <w:rFonts w:cs="Calibri"/>
                <w:color w:val="000000"/>
                <w:sz w:val="20"/>
                <w:szCs w:val="20"/>
              </w:rPr>
            </w:pPr>
          </w:p>
        </w:tc>
      </w:tr>
      <w:tr w:rsidR="00EA6FE3" w:rsidRPr="006F48A7" w:rsidTr="00285FEB">
        <w:trPr>
          <w:trHeight w:val="12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XXXII</w:t>
            </w:r>
          </w:p>
        </w:tc>
        <w:tc>
          <w:tcPr>
            <w:tcW w:w="112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106D87" w:rsidP="001C59CB">
            <w:pPr>
              <w:spacing w:after="0" w:line="240" w:lineRule="auto"/>
              <w:jc w:val="center"/>
              <w:rPr>
                <w:rFonts w:cs="Calibri"/>
                <w:color w:val="000000"/>
                <w:sz w:val="20"/>
                <w:szCs w:val="20"/>
              </w:rPr>
            </w:pPr>
            <w:r>
              <w:rPr>
                <w:rFonts w:cs="Calibri"/>
                <w:color w:val="000000"/>
                <w:sz w:val="20"/>
                <w:szCs w:val="20"/>
              </w:rPr>
              <w:t>J</w:t>
            </w:r>
            <w:r w:rsidR="00EA6FE3" w:rsidRPr="0095034E">
              <w:rPr>
                <w:rFonts w:cs="Calibri"/>
                <w:color w:val="000000"/>
                <w:sz w:val="20"/>
                <w:szCs w:val="20"/>
              </w:rPr>
              <w:t>efatura de Administración, Finanzas y Contabilidad</w:t>
            </w:r>
          </w:p>
        </w:tc>
      </w:tr>
      <w:tr w:rsidR="00EA6FE3" w:rsidRPr="006F48A7" w:rsidTr="00285FEB">
        <w:trPr>
          <w:trHeight w:val="15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106D87" w:rsidRPr="0095034E" w:rsidRDefault="002F398A" w:rsidP="007314DD">
            <w:pPr>
              <w:jc w:val="center"/>
              <w:rPr>
                <w:rFonts w:cs="Calibri"/>
                <w:sz w:val="20"/>
                <w:szCs w:val="20"/>
              </w:rPr>
            </w:pPr>
            <w:r>
              <w:rPr>
                <w:rFonts w:cs="Calibri"/>
                <w:bCs/>
                <w:sz w:val="20"/>
                <w:szCs w:val="20"/>
              </w:rPr>
              <w:t>No a</w:t>
            </w:r>
            <w:r w:rsidRPr="0095034E">
              <w:rPr>
                <w:rFonts w:cs="Calibri"/>
                <w:bCs/>
                <w:sz w:val="20"/>
                <w:szCs w:val="20"/>
              </w:rPr>
              <w:t>plica</w:t>
            </w:r>
          </w:p>
        </w:tc>
        <w:tc>
          <w:tcPr>
            <w:tcW w:w="1021" w:type="pct"/>
            <w:shd w:val="clear" w:color="000000" w:fill="FFFFFF"/>
            <w:vAlign w:val="center"/>
            <w:hideMark/>
          </w:tcPr>
          <w:p w:rsidR="00EA6FE3" w:rsidRPr="0095034E" w:rsidRDefault="00EA6FE3" w:rsidP="001C59CB">
            <w:pPr>
              <w:spacing w:after="0" w:line="240" w:lineRule="auto"/>
              <w:jc w:val="both"/>
              <w:rPr>
                <w:rFonts w:cs="Calibri"/>
                <w:color w:val="000000"/>
                <w:sz w:val="20"/>
                <w:szCs w:val="20"/>
              </w:rPr>
            </w:pPr>
          </w:p>
        </w:tc>
      </w:tr>
      <w:tr w:rsidR="00EA6FE3" w:rsidRPr="006F48A7" w:rsidTr="00285FEB">
        <w:trPr>
          <w:trHeight w:val="6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XXXIV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Padrón de proveedores y contratistas que incluya dirección, teléfono y giro comercial;</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18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El inventario de bienes muebles e inmuebles en posesión y propiedad;</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sz w:val="20"/>
                <w:szCs w:val="20"/>
              </w:rPr>
              <w:t>Aplica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Jefatura de Administración, Finanzas y Contabilidad  </w:t>
            </w:r>
          </w:p>
        </w:tc>
      </w:tr>
      <w:tr w:rsidR="00EA6FE3" w:rsidRPr="006F48A7" w:rsidTr="00285FEB">
        <w:trPr>
          <w:trHeight w:val="9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XXXVI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 información relativa a la deuda pública</w:t>
            </w:r>
            <w:r w:rsidR="00106D87">
              <w:rPr>
                <w:rFonts w:cs="Calibri"/>
                <w:color w:val="0D0D0D"/>
                <w:sz w:val="20"/>
                <w:szCs w:val="20"/>
              </w:rPr>
              <w:t>, en términos de la normativa</w:t>
            </w:r>
            <w:r w:rsidRPr="0095034E">
              <w:rPr>
                <w:rFonts w:cs="Calibri"/>
                <w:color w:val="0D0D0D"/>
                <w:sz w:val="20"/>
                <w:szCs w:val="20"/>
              </w:rPr>
              <w:t xml:space="preserve"> aplicable;</w:t>
            </w:r>
          </w:p>
        </w:tc>
        <w:tc>
          <w:tcPr>
            <w:tcW w:w="1090" w:type="pct"/>
            <w:shd w:val="clear" w:color="000000" w:fill="FFFFFF"/>
            <w:vAlign w:val="center"/>
            <w:hideMark/>
          </w:tcPr>
          <w:p w:rsidR="003214C5" w:rsidRPr="003214C5" w:rsidRDefault="0022246F" w:rsidP="0022246F">
            <w:pPr>
              <w:spacing w:line="240" w:lineRule="auto"/>
              <w:jc w:val="center"/>
              <w:rPr>
                <w:rFonts w:cs="Calibri"/>
                <w:sz w:val="20"/>
                <w:szCs w:val="20"/>
              </w:rPr>
            </w:pPr>
            <w:r>
              <w:rPr>
                <w:rFonts w:cs="Calibri"/>
                <w:bCs/>
                <w:sz w:val="20"/>
                <w:szCs w:val="20"/>
              </w:rPr>
              <w:t>No a</w:t>
            </w:r>
            <w:r w:rsidR="00EA6FE3" w:rsidRPr="00621150">
              <w:rPr>
                <w:rFonts w:cs="Calibri"/>
                <w:bCs/>
                <w:sz w:val="20"/>
                <w:szCs w:val="20"/>
              </w:rPr>
              <w:t>plica</w:t>
            </w:r>
          </w:p>
        </w:tc>
        <w:tc>
          <w:tcPr>
            <w:tcW w:w="1021" w:type="pct"/>
            <w:shd w:val="clear" w:color="000000" w:fill="FFFFFF"/>
            <w:vAlign w:val="center"/>
            <w:hideMark/>
          </w:tcPr>
          <w:p w:rsidR="005C7458" w:rsidRDefault="005C7458" w:rsidP="005C7458">
            <w:pPr>
              <w:spacing w:after="0" w:line="240" w:lineRule="auto"/>
              <w:jc w:val="center"/>
              <w:rPr>
                <w:rFonts w:cs="Calibri"/>
                <w:bCs/>
                <w:sz w:val="20"/>
                <w:szCs w:val="20"/>
              </w:rPr>
            </w:pPr>
          </w:p>
          <w:p w:rsidR="00DB1062" w:rsidRPr="0095034E" w:rsidRDefault="00DB1062" w:rsidP="0022246F">
            <w:pPr>
              <w:spacing w:after="0" w:line="240" w:lineRule="auto"/>
              <w:jc w:val="center"/>
              <w:rPr>
                <w:rFonts w:cs="Calibri"/>
                <w:color w:val="000000"/>
                <w:sz w:val="20"/>
                <w:szCs w:val="20"/>
              </w:rPr>
            </w:pPr>
          </w:p>
        </w:tc>
      </w:tr>
      <w:tr w:rsidR="00EA6FE3" w:rsidRPr="006F48A7" w:rsidTr="00285FEB">
        <w:trPr>
          <w:trHeight w:val="15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XXXVII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El resultado de los dictámenes de los estados financieros;</w:t>
            </w:r>
          </w:p>
        </w:tc>
        <w:tc>
          <w:tcPr>
            <w:tcW w:w="1090" w:type="pct"/>
            <w:shd w:val="clear" w:color="000000" w:fill="FFFFFF"/>
            <w:vAlign w:val="center"/>
            <w:hideMark/>
          </w:tcPr>
          <w:p w:rsidR="00803D48" w:rsidRPr="002F398A" w:rsidRDefault="00803D48" w:rsidP="00EA6FE3">
            <w:pPr>
              <w:jc w:val="center"/>
              <w:rPr>
                <w:rFonts w:cs="Calibri"/>
                <w:bCs/>
                <w:sz w:val="20"/>
                <w:szCs w:val="20"/>
              </w:rPr>
            </w:pPr>
            <w:r w:rsidRPr="002F398A">
              <w:rPr>
                <w:rFonts w:cs="Calibri"/>
                <w:bCs/>
                <w:sz w:val="20"/>
                <w:szCs w:val="20"/>
              </w:rPr>
              <w:t>Aplica</w:t>
            </w:r>
          </w:p>
          <w:p w:rsidR="00DB1062" w:rsidRPr="002F398A" w:rsidRDefault="00DB1062" w:rsidP="00EA6FE3">
            <w:pPr>
              <w:jc w:val="center"/>
              <w:rPr>
                <w:rFonts w:cs="Calibri"/>
                <w:sz w:val="20"/>
                <w:szCs w:val="20"/>
              </w:rPr>
            </w:pPr>
            <w:r w:rsidRPr="002F398A">
              <w:rPr>
                <w:rFonts w:cs="Calibri"/>
                <w:bCs/>
                <w:sz w:val="20"/>
                <w:szCs w:val="20"/>
              </w:rPr>
              <w:t>De conformidad a lo dispuesto en el artículo 112, fracción XII de la Ley de Salud del Estado de Sinaloa</w:t>
            </w:r>
            <w:r w:rsidR="00803D48" w:rsidRPr="002F398A">
              <w:rPr>
                <w:rFonts w:cs="Calibri"/>
                <w:bCs/>
                <w:sz w:val="20"/>
                <w:szCs w:val="20"/>
              </w:rPr>
              <w:t>, en relación con el numeral 34 del Reglamento Interno de la CAMES</w:t>
            </w:r>
          </w:p>
        </w:tc>
        <w:tc>
          <w:tcPr>
            <w:tcW w:w="1021" w:type="pct"/>
            <w:shd w:val="clear" w:color="000000" w:fill="FFFFFF"/>
            <w:vAlign w:val="center"/>
            <w:hideMark/>
          </w:tcPr>
          <w:p w:rsidR="00DB1062" w:rsidRPr="002F398A" w:rsidRDefault="00DB1062" w:rsidP="00EA6FE3">
            <w:pPr>
              <w:spacing w:after="0" w:line="240" w:lineRule="auto"/>
              <w:jc w:val="center"/>
              <w:rPr>
                <w:rFonts w:cs="Calibri"/>
                <w:color w:val="000000"/>
                <w:sz w:val="20"/>
                <w:szCs w:val="20"/>
              </w:rPr>
            </w:pPr>
            <w:r w:rsidRPr="002F398A">
              <w:rPr>
                <w:rFonts w:cs="Calibri"/>
                <w:color w:val="000000"/>
                <w:sz w:val="20"/>
                <w:szCs w:val="20"/>
              </w:rPr>
              <w:t>Jefatura de Administración, Finanzas y Contabilidad  </w:t>
            </w:r>
          </w:p>
        </w:tc>
      </w:tr>
      <w:tr w:rsidR="00EA6FE3" w:rsidRPr="006F48A7" w:rsidTr="00285FEB">
        <w:trPr>
          <w:trHeight w:val="6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XXXVIII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2F398A">
              <w:rPr>
                <w:rFonts w:cs="Calibri"/>
                <w:color w:val="000000"/>
                <w:sz w:val="20"/>
                <w:szCs w:val="20"/>
              </w:rPr>
              <w:t>Secretaría y Enlace de Control Interno</w:t>
            </w:r>
            <w:r w:rsidRPr="0095034E">
              <w:rPr>
                <w:rFonts w:cs="Calibri"/>
                <w:color w:val="000000"/>
                <w:sz w:val="20"/>
                <w:szCs w:val="20"/>
              </w:rPr>
              <w:t> </w:t>
            </w:r>
          </w:p>
        </w:tc>
      </w:tr>
      <w:tr w:rsidR="00EA6FE3" w:rsidRPr="006F48A7" w:rsidTr="00285FEB">
        <w:trPr>
          <w:trHeight w:val="18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XXXIX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6D14D5">
              <w:rPr>
                <w:rFonts w:cs="Calibri"/>
                <w:color w:val="0D0D0D"/>
                <w:sz w:val="20"/>
                <w:szCs w:val="20"/>
              </w:rPr>
              <w:t>celebrados, que deberá contener por lo menos lo siguiente:..</w:t>
            </w:r>
          </w:p>
        </w:tc>
        <w:tc>
          <w:tcPr>
            <w:tcW w:w="1090" w:type="pct"/>
            <w:shd w:val="clear" w:color="000000" w:fill="FFFFFF"/>
            <w:vAlign w:val="center"/>
            <w:hideMark/>
          </w:tcPr>
          <w:p w:rsidR="002F398A" w:rsidRPr="002F398A" w:rsidRDefault="002F398A" w:rsidP="0041766F">
            <w:pPr>
              <w:jc w:val="center"/>
              <w:rPr>
                <w:rFonts w:cs="Calibri"/>
                <w:bCs/>
                <w:sz w:val="20"/>
                <w:szCs w:val="20"/>
              </w:rPr>
            </w:pPr>
            <w:r w:rsidRPr="002F398A">
              <w:rPr>
                <w:rFonts w:cs="Calibri"/>
                <w:bCs/>
                <w:sz w:val="20"/>
                <w:szCs w:val="20"/>
              </w:rPr>
              <w:t>Aplica</w:t>
            </w:r>
          </w:p>
          <w:p w:rsidR="0041766F" w:rsidRPr="002F398A" w:rsidRDefault="002F398A" w:rsidP="0041766F">
            <w:pPr>
              <w:jc w:val="center"/>
              <w:rPr>
                <w:rFonts w:cs="Calibri"/>
                <w:bCs/>
                <w:sz w:val="20"/>
                <w:szCs w:val="20"/>
              </w:rPr>
            </w:pPr>
            <w:r w:rsidRPr="002F398A">
              <w:rPr>
                <w:rFonts w:cs="Calibri"/>
                <w:bCs/>
                <w:sz w:val="20"/>
                <w:szCs w:val="20"/>
              </w:rPr>
              <w:t>D</w:t>
            </w:r>
            <w:r w:rsidR="006D14D5" w:rsidRPr="002F398A">
              <w:rPr>
                <w:rFonts w:cs="Calibri"/>
                <w:bCs/>
                <w:sz w:val="20"/>
                <w:szCs w:val="20"/>
              </w:rPr>
              <w:t>e conformidad con el artículo 34, fracción IV del Reglamento Interno de la CAMES</w:t>
            </w:r>
            <w:r w:rsidR="007606E9" w:rsidRPr="002F398A">
              <w:rPr>
                <w:rFonts w:cs="Calibri"/>
                <w:bCs/>
                <w:sz w:val="20"/>
                <w:szCs w:val="20"/>
              </w:rPr>
              <w:t>, en relación con el punto 1.1.7. fracción IV del Manual de Organización</w:t>
            </w:r>
          </w:p>
        </w:tc>
        <w:tc>
          <w:tcPr>
            <w:tcW w:w="1021" w:type="pct"/>
            <w:shd w:val="clear" w:color="000000" w:fill="FFFFFF"/>
            <w:vAlign w:val="center"/>
            <w:hideMark/>
          </w:tcPr>
          <w:p w:rsidR="00EA6FE3" w:rsidRPr="002F398A" w:rsidRDefault="006D14D5" w:rsidP="006D14D5">
            <w:pPr>
              <w:spacing w:after="0" w:line="240" w:lineRule="auto"/>
              <w:jc w:val="center"/>
              <w:rPr>
                <w:rFonts w:cs="Calibri"/>
                <w:color w:val="000000"/>
                <w:sz w:val="20"/>
                <w:szCs w:val="20"/>
              </w:rPr>
            </w:pPr>
            <w:r w:rsidRPr="002F398A">
              <w:rPr>
                <w:rFonts w:cs="Calibri"/>
                <w:color w:val="000000"/>
                <w:sz w:val="20"/>
                <w:szCs w:val="20"/>
              </w:rPr>
              <w:t>Jefatura de Administración, Finanzas y Contabilidad</w:t>
            </w:r>
          </w:p>
        </w:tc>
      </w:tr>
      <w:tr w:rsidR="00EA6FE3" w:rsidRPr="006F48A7" w:rsidTr="00A65C0E">
        <w:trPr>
          <w:trHeight w:val="1266"/>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servicios que ofrecen señalando los requisitos para acceder a ellos;</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F398A">
            <w:pPr>
              <w:spacing w:after="0" w:line="240" w:lineRule="auto"/>
              <w:jc w:val="center"/>
              <w:rPr>
                <w:rFonts w:cs="Calibri"/>
                <w:color w:val="000000"/>
                <w:sz w:val="20"/>
                <w:szCs w:val="20"/>
              </w:rPr>
            </w:pPr>
            <w:r w:rsidRPr="0095034E">
              <w:rPr>
                <w:rFonts w:cs="Calibri"/>
                <w:color w:val="000000"/>
                <w:sz w:val="20"/>
                <w:szCs w:val="20"/>
              </w:rPr>
              <w:t>Dirección de</w:t>
            </w:r>
            <w:r w:rsidR="007606E9">
              <w:rPr>
                <w:rFonts w:cs="Calibri"/>
                <w:color w:val="000000"/>
                <w:sz w:val="20"/>
                <w:szCs w:val="20"/>
              </w:rPr>
              <w:t xml:space="preserve"> </w:t>
            </w:r>
            <w:r w:rsidRPr="0095034E">
              <w:rPr>
                <w:rFonts w:cs="Calibri"/>
                <w:color w:val="000000"/>
                <w:sz w:val="20"/>
                <w:szCs w:val="20"/>
              </w:rPr>
              <w:t>Orientación, Gestión y Asesoría </w:t>
            </w:r>
          </w:p>
        </w:tc>
      </w:tr>
      <w:tr w:rsidR="00EA6FE3" w:rsidRPr="006F48A7" w:rsidTr="00A65C0E">
        <w:trPr>
          <w:trHeight w:val="1128"/>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trámites, requisitos y formatos que ofrecen;</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F398A">
            <w:pPr>
              <w:spacing w:after="0" w:line="240" w:lineRule="auto"/>
              <w:jc w:val="center"/>
              <w:rPr>
                <w:rFonts w:cs="Calibri"/>
                <w:color w:val="000000"/>
                <w:sz w:val="20"/>
                <w:szCs w:val="20"/>
              </w:rPr>
            </w:pPr>
            <w:r w:rsidRPr="0095034E">
              <w:rPr>
                <w:rFonts w:cs="Calibri"/>
                <w:color w:val="000000"/>
                <w:sz w:val="20"/>
                <w:szCs w:val="20"/>
              </w:rPr>
              <w:t>Dirección de Orientación, Gestión y Asesoría  </w:t>
            </w:r>
          </w:p>
        </w:tc>
      </w:tr>
      <w:tr w:rsidR="00EA6FE3" w:rsidRPr="006F48A7" w:rsidTr="00285FEB">
        <w:trPr>
          <w:trHeight w:val="12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F398A">
            <w:pPr>
              <w:spacing w:after="0" w:line="240" w:lineRule="auto"/>
              <w:jc w:val="center"/>
              <w:rPr>
                <w:rFonts w:cs="Calibri"/>
                <w:color w:val="000000"/>
                <w:sz w:val="20"/>
                <w:szCs w:val="20"/>
              </w:rPr>
            </w:pPr>
            <w:r w:rsidRPr="0095034E">
              <w:rPr>
                <w:rFonts w:cs="Calibri"/>
                <w:color w:val="000000"/>
                <w:sz w:val="20"/>
                <w:szCs w:val="20"/>
              </w:rPr>
              <w:t>Dirección de</w:t>
            </w:r>
            <w:r w:rsidR="007606E9" w:rsidRPr="0095034E">
              <w:rPr>
                <w:rFonts w:cs="Calibri"/>
                <w:color w:val="000000"/>
                <w:sz w:val="20"/>
                <w:szCs w:val="20"/>
              </w:rPr>
              <w:t xml:space="preserve"> </w:t>
            </w:r>
            <w:r w:rsidR="007606E9">
              <w:rPr>
                <w:rFonts w:cs="Calibri"/>
                <w:color w:val="000000"/>
                <w:sz w:val="20"/>
                <w:szCs w:val="20"/>
              </w:rPr>
              <w:t xml:space="preserve"> </w:t>
            </w:r>
            <w:r w:rsidRPr="0095034E">
              <w:rPr>
                <w:rFonts w:cs="Calibri"/>
                <w:color w:val="000000"/>
                <w:sz w:val="20"/>
                <w:szCs w:val="20"/>
              </w:rPr>
              <w:t>Orientación, Gestión y Asesoría  </w:t>
            </w:r>
          </w:p>
        </w:tc>
      </w:tr>
      <w:tr w:rsidR="00EA6FE3" w:rsidRPr="006F48A7" w:rsidTr="00BA5ABC">
        <w:trPr>
          <w:trHeight w:val="12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XLIII</w:t>
            </w:r>
          </w:p>
        </w:tc>
        <w:tc>
          <w:tcPr>
            <w:tcW w:w="1120" w:type="pct"/>
            <w:shd w:val="clear" w:color="000000" w:fill="FFFFFF"/>
            <w:vAlign w:val="center"/>
            <w:hideMark/>
          </w:tcPr>
          <w:p w:rsidR="00EA6FE3" w:rsidRPr="0095034E" w:rsidRDefault="00EA6FE3" w:rsidP="007606E9">
            <w:pPr>
              <w:spacing w:after="0" w:line="240" w:lineRule="auto"/>
              <w:jc w:val="center"/>
              <w:rPr>
                <w:rFonts w:cs="Calibri"/>
                <w:color w:val="000000"/>
                <w:sz w:val="20"/>
                <w:szCs w:val="20"/>
              </w:rPr>
            </w:pPr>
            <w:r w:rsidRPr="0095034E">
              <w:rPr>
                <w:rFonts w:cs="Calibri"/>
                <w:color w:val="0D0D0D"/>
                <w:sz w:val="20"/>
                <w:szCs w:val="20"/>
              </w:rPr>
              <w:t xml:space="preserve">La información de los programas de subsidios, estímulos y apoyos, en el que se deberá informar respecto de los programas de transferencia, de servicios, de infraestructura social y de subsidio, </w:t>
            </w:r>
            <w:r w:rsidR="007606E9">
              <w:rPr>
                <w:rFonts w:cs="Calibri"/>
                <w:color w:val="0D0D0D"/>
                <w:sz w:val="20"/>
                <w:szCs w:val="20"/>
              </w:rPr>
              <w:t xml:space="preserve">que </w:t>
            </w:r>
            <w:r w:rsidRPr="0095034E">
              <w:rPr>
                <w:rFonts w:cs="Calibri"/>
                <w:color w:val="0D0D0D"/>
                <w:sz w:val="20"/>
                <w:szCs w:val="20"/>
              </w:rPr>
              <w:t>deberá contener lo siguiente: …</w:t>
            </w:r>
          </w:p>
        </w:tc>
        <w:tc>
          <w:tcPr>
            <w:tcW w:w="1090" w:type="pct"/>
            <w:shd w:val="clear" w:color="000000" w:fill="FFFFFF"/>
            <w:vAlign w:val="center"/>
          </w:tcPr>
          <w:p w:rsidR="003A102E" w:rsidRPr="0041766F" w:rsidRDefault="00BA5ABC" w:rsidP="0041766F">
            <w:pPr>
              <w:jc w:val="center"/>
              <w:rPr>
                <w:rFonts w:cs="Calibri"/>
                <w:bCs/>
                <w:sz w:val="20"/>
                <w:szCs w:val="20"/>
              </w:rPr>
            </w:pPr>
            <w:r>
              <w:rPr>
                <w:rFonts w:cs="Calibri"/>
                <w:bCs/>
                <w:sz w:val="20"/>
                <w:szCs w:val="20"/>
              </w:rPr>
              <w:t>No aplica</w:t>
            </w:r>
          </w:p>
        </w:tc>
        <w:tc>
          <w:tcPr>
            <w:tcW w:w="1021" w:type="pct"/>
            <w:shd w:val="clear" w:color="000000" w:fill="FFFFFF"/>
            <w:vAlign w:val="center"/>
          </w:tcPr>
          <w:p w:rsidR="00EA6FE3" w:rsidRPr="0095034E" w:rsidRDefault="00EA6FE3" w:rsidP="002F398A">
            <w:pPr>
              <w:spacing w:after="0" w:line="240" w:lineRule="auto"/>
              <w:jc w:val="center"/>
              <w:rPr>
                <w:rFonts w:cs="Calibri"/>
                <w:color w:val="000000"/>
                <w:sz w:val="20"/>
                <w:szCs w:val="20"/>
              </w:rPr>
            </w:pPr>
          </w:p>
        </w:tc>
      </w:tr>
      <w:tr w:rsidR="00EA6FE3" w:rsidRPr="006F48A7" w:rsidTr="00BA5ABC">
        <w:trPr>
          <w:trHeight w:val="15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XLIV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Todas las evaluaciones y encuestas que hagan los sujetos obligados a programas financiados con recursos públicos;</w:t>
            </w:r>
          </w:p>
        </w:tc>
        <w:tc>
          <w:tcPr>
            <w:tcW w:w="1090" w:type="pct"/>
            <w:shd w:val="clear" w:color="000000" w:fill="FFFFFF"/>
            <w:vAlign w:val="center"/>
          </w:tcPr>
          <w:p w:rsidR="003A102E" w:rsidRPr="0095034E" w:rsidRDefault="00BA5ABC" w:rsidP="00EA6FE3">
            <w:pPr>
              <w:jc w:val="center"/>
              <w:rPr>
                <w:rFonts w:cs="Calibri"/>
                <w:sz w:val="20"/>
                <w:szCs w:val="20"/>
              </w:rPr>
            </w:pPr>
            <w:r>
              <w:rPr>
                <w:rFonts w:cs="Calibri"/>
                <w:bCs/>
                <w:sz w:val="20"/>
                <w:szCs w:val="20"/>
              </w:rPr>
              <w:t>No aplica</w:t>
            </w:r>
          </w:p>
        </w:tc>
        <w:tc>
          <w:tcPr>
            <w:tcW w:w="1021" w:type="pct"/>
            <w:shd w:val="clear" w:color="000000" w:fill="FFFFFF"/>
            <w:vAlign w:val="center"/>
          </w:tcPr>
          <w:p w:rsidR="00EA6FE3" w:rsidRPr="0095034E" w:rsidRDefault="00EA6FE3" w:rsidP="002F398A">
            <w:pPr>
              <w:spacing w:after="0" w:line="240" w:lineRule="auto"/>
              <w:jc w:val="center"/>
              <w:rPr>
                <w:rFonts w:cs="Calibri"/>
                <w:color w:val="000000"/>
                <w:sz w:val="20"/>
                <w:szCs w:val="20"/>
              </w:rPr>
            </w:pPr>
          </w:p>
        </w:tc>
      </w:tr>
      <w:tr w:rsidR="00EA6FE3" w:rsidRPr="006F48A7" w:rsidTr="00BA5ABC">
        <w:trPr>
          <w:trHeight w:val="797"/>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concesiones, contratos, convenios, permisos, licen</w:t>
            </w:r>
            <w:r w:rsidR="003A102E">
              <w:rPr>
                <w:rFonts w:cs="Calibri"/>
                <w:color w:val="0D0D0D"/>
                <w:sz w:val="20"/>
                <w:szCs w:val="20"/>
              </w:rPr>
              <w:t>cias o autorizaciones otorgados;</w:t>
            </w:r>
            <w:r w:rsidRPr="0095034E">
              <w:rPr>
                <w:rFonts w:cs="Calibri"/>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2F398A" w:rsidRDefault="002F398A" w:rsidP="003A102E">
            <w:pPr>
              <w:spacing w:after="0" w:line="240" w:lineRule="auto"/>
              <w:jc w:val="center"/>
              <w:rPr>
                <w:rFonts w:cs="Calibri"/>
                <w:bCs/>
                <w:sz w:val="20"/>
                <w:szCs w:val="20"/>
              </w:rPr>
            </w:pPr>
            <w:r>
              <w:rPr>
                <w:rFonts w:cs="Calibri"/>
                <w:bCs/>
                <w:sz w:val="20"/>
                <w:szCs w:val="20"/>
              </w:rPr>
              <w:t>No a</w:t>
            </w:r>
            <w:r w:rsidR="00EA6FE3" w:rsidRPr="0095034E">
              <w:rPr>
                <w:rFonts w:cs="Calibri"/>
                <w:bCs/>
                <w:sz w:val="20"/>
                <w:szCs w:val="20"/>
              </w:rPr>
              <w:t>plica</w:t>
            </w:r>
            <w:r w:rsidR="003A102E">
              <w:rPr>
                <w:rFonts w:cs="Calibri"/>
                <w:bCs/>
                <w:sz w:val="20"/>
                <w:szCs w:val="20"/>
              </w:rPr>
              <w:t xml:space="preserve"> </w:t>
            </w:r>
          </w:p>
          <w:p w:rsidR="002F398A" w:rsidRDefault="002F398A" w:rsidP="003A102E">
            <w:pPr>
              <w:spacing w:after="0" w:line="240" w:lineRule="auto"/>
              <w:jc w:val="center"/>
              <w:rPr>
                <w:rFonts w:cs="Calibri"/>
                <w:bCs/>
                <w:sz w:val="20"/>
                <w:szCs w:val="20"/>
              </w:rPr>
            </w:pPr>
          </w:p>
          <w:p w:rsidR="003A102E" w:rsidRDefault="003A102E" w:rsidP="003A102E">
            <w:pPr>
              <w:spacing w:after="0" w:line="240" w:lineRule="auto"/>
              <w:jc w:val="center"/>
              <w:rPr>
                <w:rFonts w:cs="Calibri"/>
                <w:bCs/>
                <w:sz w:val="20"/>
                <w:szCs w:val="20"/>
              </w:rPr>
            </w:pPr>
            <w:r w:rsidRPr="002F398A">
              <w:rPr>
                <w:rFonts w:cs="Calibri"/>
                <w:bCs/>
                <w:sz w:val="20"/>
                <w:szCs w:val="20"/>
              </w:rPr>
              <w:t xml:space="preserve">Toda vez que no cuenta </w:t>
            </w:r>
            <w:r w:rsidR="0082365B" w:rsidRPr="002F398A">
              <w:rPr>
                <w:rFonts w:cs="Calibri"/>
                <w:bCs/>
                <w:sz w:val="20"/>
                <w:szCs w:val="20"/>
              </w:rPr>
              <w:t>con facultades</w:t>
            </w:r>
            <w:r w:rsidRPr="002F398A">
              <w:rPr>
                <w:rFonts w:cs="Calibri"/>
                <w:bCs/>
                <w:sz w:val="20"/>
                <w:szCs w:val="20"/>
              </w:rPr>
              <w:t xml:space="preserve"> previstas en el Reglamento Interno de la CAMES</w:t>
            </w:r>
          </w:p>
          <w:p w:rsidR="00EA6FE3" w:rsidRPr="0095034E" w:rsidRDefault="00EA6FE3" w:rsidP="003A102E">
            <w:pPr>
              <w:jc w:val="center"/>
              <w:rPr>
                <w:rFonts w:cs="Calibri"/>
                <w:sz w:val="20"/>
                <w:szCs w:val="20"/>
              </w:rPr>
            </w:pP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p>
        </w:tc>
      </w:tr>
      <w:tr w:rsidR="00EA6FE3" w:rsidRPr="006F48A7" w:rsidTr="00285FEB">
        <w:trPr>
          <w:trHeight w:val="24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XLVI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Presidencia </w:t>
            </w: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XLVII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2F398A">
            <w:pPr>
              <w:spacing w:after="0" w:line="240" w:lineRule="auto"/>
              <w:jc w:val="center"/>
              <w:rPr>
                <w:rFonts w:cs="Calibri"/>
                <w:color w:val="000000"/>
                <w:sz w:val="20"/>
                <w:szCs w:val="20"/>
              </w:rPr>
            </w:pPr>
            <w:r w:rsidRPr="0095034E">
              <w:rPr>
                <w:rFonts w:cs="Calibri"/>
                <w:color w:val="000000"/>
                <w:sz w:val="20"/>
                <w:szCs w:val="20"/>
              </w:rPr>
              <w:t>Captura y estadísticas</w:t>
            </w: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XLVIII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sz w:val="20"/>
                <w:szCs w:val="20"/>
              </w:rPr>
              <w:t>Las metas y objetivos de las áreas de conformidad con sus programas operativos;</w:t>
            </w:r>
          </w:p>
        </w:tc>
        <w:tc>
          <w:tcPr>
            <w:tcW w:w="1090" w:type="pct"/>
            <w:shd w:val="clear" w:color="000000" w:fill="FFFFFF"/>
            <w:vAlign w:val="center"/>
            <w:hideMark/>
          </w:tcPr>
          <w:p w:rsidR="00EA6FE3" w:rsidRPr="0095034E" w:rsidRDefault="00EA6FE3" w:rsidP="00EA6FE3">
            <w:pPr>
              <w:jc w:val="center"/>
              <w:rPr>
                <w:rFonts w:cs="Calibri"/>
                <w:bCs/>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2F398A" w:rsidP="00EA6FE3">
            <w:pPr>
              <w:spacing w:after="0" w:line="240" w:lineRule="auto"/>
              <w:jc w:val="center"/>
              <w:rPr>
                <w:rFonts w:cs="Calibri"/>
                <w:color w:val="000000"/>
                <w:sz w:val="20"/>
                <w:szCs w:val="20"/>
              </w:rPr>
            </w:pPr>
            <w:r>
              <w:rPr>
                <w:rFonts w:cs="Calibri"/>
                <w:color w:val="000000"/>
                <w:sz w:val="20"/>
                <w:szCs w:val="20"/>
              </w:rPr>
              <w:t>Secretaría /</w:t>
            </w:r>
            <w:r w:rsidR="00EA6FE3" w:rsidRPr="0095034E">
              <w:rPr>
                <w:rFonts w:cs="Calibri"/>
                <w:color w:val="000000"/>
                <w:sz w:val="20"/>
                <w:szCs w:val="20"/>
              </w:rPr>
              <w:t xml:space="preserve"> Jefatura de Administración, Finanzas y Contabilidad  </w:t>
            </w: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XLIX</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color w:val="0D0D0D"/>
                <w:sz w:val="20"/>
                <w:szCs w:val="20"/>
              </w:rPr>
              <w:t>Los indicadores que permitan rendir cuenta de sus objetivos y resultados;</w:t>
            </w:r>
          </w:p>
        </w:tc>
        <w:tc>
          <w:tcPr>
            <w:tcW w:w="1090" w:type="pct"/>
            <w:shd w:val="clear" w:color="000000" w:fill="FFFFFF"/>
            <w:vAlign w:val="center"/>
            <w:hideMark/>
          </w:tcPr>
          <w:p w:rsidR="00EA6FE3" w:rsidRPr="0095034E" w:rsidRDefault="00EA6FE3" w:rsidP="00EA6FE3">
            <w:pPr>
              <w:jc w:val="center"/>
              <w:rPr>
                <w:rFonts w:cs="Calibri"/>
                <w:bCs/>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2F398A" w:rsidP="00EA6FE3">
            <w:pPr>
              <w:spacing w:after="0" w:line="240" w:lineRule="auto"/>
              <w:jc w:val="center"/>
              <w:rPr>
                <w:rFonts w:cs="Calibri"/>
                <w:color w:val="000000"/>
                <w:sz w:val="20"/>
                <w:szCs w:val="20"/>
              </w:rPr>
            </w:pPr>
            <w:r>
              <w:rPr>
                <w:rFonts w:cs="Calibri"/>
                <w:color w:val="000000"/>
                <w:sz w:val="20"/>
                <w:szCs w:val="20"/>
              </w:rPr>
              <w:t>Secretaría /</w:t>
            </w:r>
            <w:r w:rsidR="00EA6FE3" w:rsidRPr="0095034E">
              <w:rPr>
                <w:rFonts w:cs="Calibri"/>
                <w:color w:val="000000"/>
                <w:sz w:val="20"/>
                <w:szCs w:val="20"/>
              </w:rPr>
              <w:t xml:space="preserve"> Jefatura de Administración, Finanzas y Contabilidad  </w:t>
            </w: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EA6FE3" w:rsidRPr="0095034E" w:rsidRDefault="00EA6FE3" w:rsidP="00EA6FE3">
            <w:pPr>
              <w:jc w:val="center"/>
              <w:rPr>
                <w:rFonts w:cs="Calibri"/>
                <w:bCs/>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2F398A" w:rsidP="00EA6FE3">
            <w:pPr>
              <w:spacing w:after="0" w:line="240" w:lineRule="auto"/>
              <w:jc w:val="center"/>
              <w:rPr>
                <w:rFonts w:cs="Calibri"/>
                <w:color w:val="000000"/>
                <w:sz w:val="20"/>
                <w:szCs w:val="20"/>
              </w:rPr>
            </w:pPr>
            <w:r>
              <w:rPr>
                <w:rFonts w:cs="Calibri"/>
                <w:color w:val="000000"/>
                <w:sz w:val="20"/>
                <w:szCs w:val="20"/>
              </w:rPr>
              <w:t>Secretaría /</w:t>
            </w:r>
            <w:r w:rsidR="00EA6FE3" w:rsidRPr="0095034E">
              <w:rPr>
                <w:rFonts w:cs="Calibri"/>
                <w:color w:val="000000"/>
                <w:sz w:val="20"/>
                <w:szCs w:val="20"/>
              </w:rPr>
              <w:t xml:space="preserve"> Jefatura de Administración, Finanzas y Contabilidad  </w:t>
            </w:r>
          </w:p>
        </w:tc>
      </w:tr>
      <w:tr w:rsidR="00EA6FE3" w:rsidRPr="006F48A7" w:rsidTr="00BA5ABC">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color w:val="0D0D0D"/>
                <w:sz w:val="20"/>
                <w:szCs w:val="20"/>
              </w:rPr>
              <w:t>Los estudios financiados con recursos públicos;</w:t>
            </w:r>
          </w:p>
        </w:tc>
        <w:tc>
          <w:tcPr>
            <w:tcW w:w="1090" w:type="pct"/>
            <w:shd w:val="clear" w:color="000000" w:fill="FFFFFF"/>
            <w:vAlign w:val="center"/>
          </w:tcPr>
          <w:p w:rsidR="00EA6FE3" w:rsidRPr="0095034E" w:rsidRDefault="00BA5ABC" w:rsidP="00BA5ABC">
            <w:pPr>
              <w:spacing w:after="0"/>
              <w:jc w:val="center"/>
              <w:rPr>
                <w:rFonts w:cs="Calibri"/>
                <w:bCs/>
                <w:sz w:val="20"/>
                <w:szCs w:val="20"/>
              </w:rPr>
            </w:pPr>
            <w:r>
              <w:rPr>
                <w:rFonts w:cs="Calibri"/>
                <w:bCs/>
                <w:sz w:val="20"/>
                <w:szCs w:val="20"/>
              </w:rPr>
              <w:t>No aplica</w:t>
            </w:r>
          </w:p>
        </w:tc>
        <w:tc>
          <w:tcPr>
            <w:tcW w:w="1021" w:type="pct"/>
            <w:shd w:val="clear" w:color="000000" w:fill="FFFFFF"/>
            <w:vAlign w:val="center"/>
          </w:tcPr>
          <w:p w:rsidR="00EA6FE3" w:rsidRPr="0095034E" w:rsidRDefault="00EA6FE3" w:rsidP="00EA6FE3">
            <w:pPr>
              <w:spacing w:after="0" w:line="240" w:lineRule="auto"/>
              <w:jc w:val="center"/>
              <w:rPr>
                <w:rFonts w:cs="Calibri"/>
                <w:color w:val="000000"/>
                <w:sz w:val="20"/>
                <w:szCs w:val="20"/>
              </w:rPr>
            </w:pP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color w:val="0D0D0D"/>
                <w:sz w:val="20"/>
                <w:szCs w:val="20"/>
              </w:rPr>
              <w:t>Los mecanismos de participación ciudadana;</w:t>
            </w:r>
          </w:p>
        </w:tc>
        <w:tc>
          <w:tcPr>
            <w:tcW w:w="1090" w:type="pct"/>
            <w:shd w:val="clear" w:color="000000" w:fill="FFFFFF"/>
            <w:vAlign w:val="center"/>
            <w:hideMark/>
          </w:tcPr>
          <w:p w:rsidR="00EA6FE3" w:rsidRPr="0095034E" w:rsidRDefault="00CE17D9" w:rsidP="00BA5ABC">
            <w:pPr>
              <w:spacing w:after="0"/>
              <w:jc w:val="center"/>
              <w:rPr>
                <w:rFonts w:cs="Calibri"/>
                <w:bCs/>
                <w:sz w:val="20"/>
                <w:szCs w:val="20"/>
              </w:rPr>
            </w:pPr>
            <w:r>
              <w:rPr>
                <w:rFonts w:cs="Calibri"/>
                <w:bCs/>
                <w:sz w:val="20"/>
                <w:szCs w:val="20"/>
              </w:rPr>
              <w:t>No a</w:t>
            </w:r>
            <w:r w:rsidR="00EA6FE3" w:rsidRPr="0095034E">
              <w:rPr>
                <w:rFonts w:cs="Calibri"/>
                <w:bCs/>
                <w:sz w:val="20"/>
                <w:szCs w:val="20"/>
              </w:rPr>
              <w:t>plica</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p>
        </w:tc>
      </w:tr>
      <w:tr w:rsidR="00EA6FE3" w:rsidRPr="006F48A7" w:rsidTr="00285FEB">
        <w:trPr>
          <w:trHeight w:val="543"/>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LIII</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D0D0D"/>
                <w:sz w:val="20"/>
                <w:szCs w:val="20"/>
              </w:rPr>
            </w:pPr>
            <w:r w:rsidRPr="0095034E">
              <w:rPr>
                <w:rFonts w:cs="Calibri"/>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EA6FE3" w:rsidRPr="0095034E" w:rsidRDefault="00EA6FE3" w:rsidP="00EA6FE3">
            <w:pPr>
              <w:jc w:val="center"/>
              <w:rPr>
                <w:rFonts w:cs="Calibri"/>
                <w:bCs/>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A65C0E" w:rsidP="002F398A">
            <w:pPr>
              <w:spacing w:after="0" w:line="240" w:lineRule="auto"/>
              <w:jc w:val="center"/>
              <w:rPr>
                <w:rFonts w:cs="Calibri"/>
                <w:color w:val="000000"/>
                <w:sz w:val="20"/>
                <w:szCs w:val="20"/>
              </w:rPr>
            </w:pPr>
            <w:r>
              <w:rPr>
                <w:rFonts w:cs="Calibri"/>
                <w:color w:val="000000"/>
                <w:sz w:val="20"/>
                <w:szCs w:val="20"/>
              </w:rPr>
              <w:t>Secretaría /</w:t>
            </w:r>
            <w:r w:rsidR="00EA6FE3" w:rsidRPr="0095034E">
              <w:rPr>
                <w:rFonts w:cs="Calibri"/>
                <w:color w:val="000000"/>
                <w:sz w:val="20"/>
                <w:szCs w:val="20"/>
              </w:rPr>
              <w:t xml:space="preserve"> Dirección jurídica</w:t>
            </w:r>
          </w:p>
        </w:tc>
      </w:tr>
      <w:tr w:rsidR="002744BC" w:rsidRPr="006F48A7" w:rsidTr="00C017CE">
        <w:trPr>
          <w:trHeight w:val="543"/>
        </w:trPr>
        <w:tc>
          <w:tcPr>
            <w:tcW w:w="367" w:type="pct"/>
            <w:vMerge/>
            <w:shd w:val="clear" w:color="000000" w:fill="FFFFFF"/>
            <w:vAlign w:val="center"/>
            <w:hideMark/>
          </w:tcPr>
          <w:p w:rsidR="002744BC" w:rsidRPr="0095034E" w:rsidRDefault="002744BC" w:rsidP="00EA6FE3">
            <w:pPr>
              <w:spacing w:after="0" w:line="240" w:lineRule="auto"/>
              <w:rPr>
                <w:rFonts w:cs="Calibri"/>
                <w:color w:val="000000"/>
                <w:sz w:val="20"/>
                <w:szCs w:val="20"/>
              </w:rPr>
            </w:pPr>
          </w:p>
        </w:tc>
        <w:tc>
          <w:tcPr>
            <w:tcW w:w="558" w:type="pct"/>
            <w:vMerge/>
            <w:shd w:val="clear" w:color="000000" w:fill="FFFFFF"/>
            <w:vAlign w:val="center"/>
            <w:hideMark/>
          </w:tcPr>
          <w:p w:rsidR="002744BC" w:rsidRPr="0095034E" w:rsidRDefault="002744BC" w:rsidP="00EA6FE3">
            <w:pPr>
              <w:spacing w:after="0" w:line="240" w:lineRule="auto"/>
              <w:rPr>
                <w:rFonts w:cs="Calibri"/>
                <w:color w:val="000000"/>
                <w:sz w:val="20"/>
                <w:szCs w:val="20"/>
              </w:rPr>
            </w:pPr>
          </w:p>
        </w:tc>
        <w:tc>
          <w:tcPr>
            <w:tcW w:w="558" w:type="pct"/>
            <w:vMerge/>
            <w:shd w:val="clear" w:color="000000" w:fill="FFFFFF"/>
            <w:vAlign w:val="center"/>
            <w:hideMark/>
          </w:tcPr>
          <w:p w:rsidR="002744BC" w:rsidRPr="0095034E" w:rsidRDefault="002744BC" w:rsidP="00EA6FE3">
            <w:pPr>
              <w:spacing w:after="0" w:line="240" w:lineRule="auto"/>
              <w:rPr>
                <w:rFonts w:cs="Calibri"/>
                <w:color w:val="000000"/>
                <w:sz w:val="20"/>
                <w:szCs w:val="20"/>
              </w:rPr>
            </w:pPr>
          </w:p>
        </w:tc>
        <w:tc>
          <w:tcPr>
            <w:tcW w:w="286" w:type="pct"/>
            <w:shd w:val="clear" w:color="000000" w:fill="FFFFFF"/>
            <w:vAlign w:val="center"/>
            <w:hideMark/>
          </w:tcPr>
          <w:p w:rsidR="002744BC" w:rsidRPr="0095034E" w:rsidRDefault="002744BC" w:rsidP="00EA6FE3">
            <w:pPr>
              <w:spacing w:after="0" w:line="240" w:lineRule="auto"/>
              <w:jc w:val="center"/>
              <w:rPr>
                <w:rFonts w:cs="Calibri"/>
                <w:color w:val="000000"/>
                <w:sz w:val="20"/>
                <w:szCs w:val="20"/>
              </w:rPr>
            </w:pPr>
            <w:r w:rsidRPr="0095034E">
              <w:rPr>
                <w:rFonts w:cs="Calibri"/>
                <w:color w:val="000000"/>
                <w:sz w:val="20"/>
                <w:szCs w:val="20"/>
              </w:rPr>
              <w:t>LIV</w:t>
            </w:r>
          </w:p>
        </w:tc>
        <w:tc>
          <w:tcPr>
            <w:tcW w:w="1120" w:type="pct"/>
            <w:shd w:val="clear" w:color="000000" w:fill="FFFFFF"/>
            <w:vAlign w:val="center"/>
            <w:hideMark/>
          </w:tcPr>
          <w:p w:rsidR="002744BC" w:rsidRPr="0095034E" w:rsidRDefault="002744BC" w:rsidP="00EA6FE3">
            <w:pPr>
              <w:spacing w:after="0" w:line="240" w:lineRule="auto"/>
              <w:jc w:val="center"/>
              <w:rPr>
                <w:rFonts w:cs="Calibri"/>
                <w:color w:val="0D0D0D"/>
                <w:sz w:val="20"/>
                <w:szCs w:val="20"/>
              </w:rPr>
            </w:pPr>
            <w:r w:rsidRPr="0095034E">
              <w:rPr>
                <w:rFonts w:cs="Calibri"/>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Calibri"/>
                <w:color w:val="0D0D0D"/>
                <w:sz w:val="20"/>
                <w:szCs w:val="20"/>
              </w:rPr>
              <w:t>les del requerimiento, así como</w:t>
            </w:r>
            <w:r w:rsidRPr="0095034E">
              <w:rPr>
                <w:rFonts w:cs="Calibri"/>
                <w:color w:val="0D0D0D"/>
                <w:sz w:val="20"/>
                <w:szCs w:val="20"/>
              </w:rPr>
              <w:t xml:space="preserve"> en su caso, la mención de que cuenta con la autori</w:t>
            </w:r>
            <w:r>
              <w:rPr>
                <w:rFonts w:cs="Calibri"/>
                <w:color w:val="0D0D0D"/>
                <w:sz w:val="20"/>
                <w:szCs w:val="20"/>
              </w:rPr>
              <w:t>zación judicial correspondiente;</w:t>
            </w:r>
            <w:r w:rsidRPr="0095034E">
              <w:rPr>
                <w:rFonts w:cs="Calibri"/>
                <w:color w:val="0D0D0D"/>
                <w:sz w:val="20"/>
                <w:szCs w:val="20"/>
              </w:rPr>
              <w:t xml:space="preserve"> y</w:t>
            </w:r>
            <w:r>
              <w:rPr>
                <w:rFonts w:cs="Calibri"/>
                <w:color w:val="0D0D0D"/>
                <w:sz w:val="20"/>
                <w:szCs w:val="20"/>
              </w:rPr>
              <w:t>,</w:t>
            </w:r>
          </w:p>
        </w:tc>
        <w:tc>
          <w:tcPr>
            <w:tcW w:w="1090" w:type="pct"/>
            <w:shd w:val="clear" w:color="000000" w:fill="FFFFFF"/>
            <w:vAlign w:val="center"/>
            <w:hideMark/>
          </w:tcPr>
          <w:p w:rsidR="002744BC" w:rsidRPr="00C017CE" w:rsidRDefault="00C017CE" w:rsidP="00C017CE">
            <w:pPr>
              <w:jc w:val="center"/>
              <w:rPr>
                <w:rFonts w:cs="Calibri"/>
                <w:bCs/>
                <w:color w:val="00B050"/>
                <w:sz w:val="20"/>
                <w:szCs w:val="20"/>
              </w:rPr>
            </w:pPr>
            <w:r w:rsidRPr="00C017CE">
              <w:rPr>
                <w:rFonts w:cs="Calibri"/>
                <w:bCs/>
                <w:color w:val="00B050"/>
                <w:sz w:val="20"/>
                <w:szCs w:val="20"/>
              </w:rPr>
              <w:t>Aplica</w:t>
            </w:r>
          </w:p>
          <w:p w:rsidR="00C017CE" w:rsidRPr="00C017CE" w:rsidRDefault="00C017CE" w:rsidP="00C017CE">
            <w:pPr>
              <w:jc w:val="center"/>
              <w:rPr>
                <w:color w:val="00B050"/>
              </w:rPr>
            </w:pPr>
            <w:r w:rsidRPr="00C017CE">
              <w:rPr>
                <w:rFonts w:cs="Calibri"/>
                <w:color w:val="00B050"/>
                <w:sz w:val="20"/>
                <w:szCs w:val="20"/>
              </w:rPr>
              <w:t>Atendiendo lo dispuesto en el lineamiento técnico correspondiente a esta fracción</w:t>
            </w:r>
          </w:p>
        </w:tc>
        <w:tc>
          <w:tcPr>
            <w:tcW w:w="1021" w:type="pct"/>
            <w:shd w:val="clear" w:color="000000" w:fill="FFFFFF"/>
            <w:vAlign w:val="center"/>
            <w:hideMark/>
          </w:tcPr>
          <w:p w:rsidR="002744BC" w:rsidRPr="00C017CE" w:rsidRDefault="002744BC" w:rsidP="00C017CE">
            <w:pPr>
              <w:jc w:val="center"/>
              <w:rPr>
                <w:color w:val="00B050"/>
              </w:rPr>
            </w:pPr>
            <w:r w:rsidRPr="00C017CE">
              <w:rPr>
                <w:rFonts w:cs="Calibri"/>
                <w:bCs/>
                <w:color w:val="00B050"/>
                <w:sz w:val="20"/>
                <w:szCs w:val="20"/>
              </w:rPr>
              <w:t>Se deberá establecer el área responsable que publicará la información requerida de conformidad con sus atribuciones y que forme parte de su estructura orgánica</w:t>
            </w:r>
          </w:p>
        </w:tc>
      </w:tr>
      <w:tr w:rsidR="00EA6FE3" w:rsidRPr="006F48A7" w:rsidTr="00285FEB">
        <w:trPr>
          <w:trHeight w:val="1215"/>
        </w:trPr>
        <w:tc>
          <w:tcPr>
            <w:tcW w:w="367"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558" w:type="pct"/>
            <w:vMerge/>
            <w:shd w:val="clear" w:color="000000" w:fill="FFFFFF"/>
            <w:vAlign w:val="center"/>
            <w:hideMark/>
          </w:tcPr>
          <w:p w:rsidR="00EA6FE3" w:rsidRPr="0095034E" w:rsidRDefault="00EA6FE3" w:rsidP="00EA6FE3">
            <w:pPr>
              <w:spacing w:after="0" w:line="240" w:lineRule="auto"/>
              <w:rPr>
                <w:rFonts w:cs="Calibri"/>
                <w:color w:val="000000"/>
                <w:sz w:val="20"/>
                <w:szCs w:val="20"/>
              </w:rPr>
            </w:pPr>
          </w:p>
        </w:tc>
        <w:tc>
          <w:tcPr>
            <w:tcW w:w="286"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LV</w:t>
            </w:r>
          </w:p>
        </w:tc>
        <w:tc>
          <w:tcPr>
            <w:tcW w:w="1120"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Cualquier otra información que sea de utilidad o se consid</w:t>
            </w:r>
            <w:r w:rsidR="00BA08EC">
              <w:rPr>
                <w:rFonts w:cs="Calibri"/>
                <w:color w:val="000000"/>
                <w:sz w:val="20"/>
                <w:szCs w:val="20"/>
              </w:rPr>
              <w:t>ere relevante, además de la que</w:t>
            </w:r>
            <w:r w:rsidRPr="0095034E">
              <w:rPr>
                <w:rFonts w:cs="Calibri"/>
                <w:color w:val="000000"/>
                <w:sz w:val="20"/>
                <w:szCs w:val="20"/>
              </w:rPr>
              <w:t xml:space="preserve"> con bas</w:t>
            </w:r>
            <w:r w:rsidR="00BA08EC">
              <w:rPr>
                <w:rFonts w:cs="Calibri"/>
                <w:color w:val="000000"/>
                <w:sz w:val="20"/>
                <w:szCs w:val="20"/>
              </w:rPr>
              <w:t>e en la información estadística</w:t>
            </w:r>
            <w:r w:rsidRPr="0095034E">
              <w:rPr>
                <w:rFonts w:cs="Calibri"/>
                <w:color w:val="000000"/>
                <w:sz w:val="20"/>
                <w:szCs w:val="20"/>
              </w:rPr>
              <w:t xml:space="preserve"> responda a las preguntas hechas con más frecuencia por el público.</w:t>
            </w:r>
          </w:p>
        </w:tc>
        <w:tc>
          <w:tcPr>
            <w:tcW w:w="1090" w:type="pct"/>
            <w:shd w:val="clear" w:color="000000" w:fill="FFFFFF"/>
            <w:vAlign w:val="center"/>
            <w:hideMark/>
          </w:tcPr>
          <w:p w:rsidR="00EA6FE3" w:rsidRPr="0095034E" w:rsidRDefault="00EA6FE3" w:rsidP="00EA6FE3">
            <w:pPr>
              <w:jc w:val="center"/>
              <w:rPr>
                <w:rFonts w:cs="Calibri"/>
                <w:sz w:val="20"/>
                <w:szCs w:val="20"/>
              </w:rPr>
            </w:pPr>
            <w:r w:rsidRPr="0095034E">
              <w:rPr>
                <w:rFonts w:cs="Calibri"/>
                <w:bCs/>
                <w:sz w:val="20"/>
                <w:szCs w:val="20"/>
              </w:rPr>
              <w:t xml:space="preserve">Aplica </w:t>
            </w:r>
          </w:p>
        </w:tc>
        <w:tc>
          <w:tcPr>
            <w:tcW w:w="1021" w:type="pct"/>
            <w:shd w:val="clear" w:color="000000" w:fill="FFFFFF"/>
            <w:vAlign w:val="center"/>
            <w:hideMark/>
          </w:tcPr>
          <w:p w:rsidR="00EA6FE3" w:rsidRPr="0095034E" w:rsidRDefault="00EA6FE3" w:rsidP="00EA6FE3">
            <w:pPr>
              <w:spacing w:after="0" w:line="240" w:lineRule="auto"/>
              <w:jc w:val="center"/>
              <w:rPr>
                <w:rFonts w:cs="Calibri"/>
                <w:color w:val="000000"/>
                <w:sz w:val="20"/>
                <w:szCs w:val="20"/>
              </w:rPr>
            </w:pPr>
            <w:r w:rsidRPr="0095034E">
              <w:rPr>
                <w:rFonts w:cs="Calibri"/>
                <w:color w:val="000000"/>
                <w:sz w:val="20"/>
                <w:szCs w:val="20"/>
              </w:rPr>
              <w:t>Unidad de Transparencia </w:t>
            </w:r>
          </w:p>
        </w:tc>
      </w:tr>
      <w:tr w:rsidR="005E4863" w:rsidRPr="006F48A7" w:rsidTr="00285FEB">
        <w:trPr>
          <w:trHeight w:val="1215"/>
        </w:trPr>
        <w:tc>
          <w:tcPr>
            <w:tcW w:w="367" w:type="pct"/>
            <w:shd w:val="clear" w:color="000000" w:fill="FFFFFF"/>
            <w:vAlign w:val="center"/>
            <w:hideMark/>
          </w:tcPr>
          <w:p w:rsidR="005E4863" w:rsidRPr="0095034E" w:rsidRDefault="005E4863" w:rsidP="00EA6FE3">
            <w:pPr>
              <w:spacing w:after="0" w:line="240" w:lineRule="auto"/>
              <w:rPr>
                <w:rFonts w:cs="Calibri"/>
                <w:color w:val="000000"/>
                <w:sz w:val="20"/>
                <w:szCs w:val="20"/>
              </w:rPr>
            </w:pPr>
          </w:p>
        </w:tc>
        <w:tc>
          <w:tcPr>
            <w:tcW w:w="558" w:type="pct"/>
            <w:shd w:val="clear" w:color="000000" w:fill="FFFFFF"/>
            <w:vAlign w:val="center"/>
            <w:hideMark/>
          </w:tcPr>
          <w:p w:rsidR="005E4863" w:rsidRPr="0095034E" w:rsidRDefault="005E4863" w:rsidP="00EA6FE3">
            <w:pPr>
              <w:spacing w:after="0" w:line="240" w:lineRule="auto"/>
              <w:rPr>
                <w:rFonts w:cs="Calibri"/>
                <w:color w:val="000000"/>
                <w:sz w:val="20"/>
                <w:szCs w:val="20"/>
              </w:rPr>
            </w:pPr>
          </w:p>
        </w:tc>
        <w:tc>
          <w:tcPr>
            <w:tcW w:w="558" w:type="pct"/>
            <w:shd w:val="clear" w:color="000000" w:fill="FFFFFF"/>
            <w:vAlign w:val="center"/>
            <w:hideMark/>
          </w:tcPr>
          <w:p w:rsidR="005E4863" w:rsidRPr="0095034E" w:rsidRDefault="005E4863" w:rsidP="00EA6FE3">
            <w:pPr>
              <w:spacing w:after="0" w:line="240" w:lineRule="auto"/>
              <w:rPr>
                <w:rFonts w:cs="Calibri"/>
                <w:color w:val="000000"/>
                <w:sz w:val="20"/>
                <w:szCs w:val="20"/>
              </w:rPr>
            </w:pPr>
          </w:p>
        </w:tc>
        <w:tc>
          <w:tcPr>
            <w:tcW w:w="286" w:type="pct"/>
            <w:shd w:val="clear" w:color="000000" w:fill="FFFFFF"/>
            <w:vAlign w:val="center"/>
            <w:hideMark/>
          </w:tcPr>
          <w:p w:rsidR="005E4863" w:rsidRPr="005E4863" w:rsidRDefault="005E4863" w:rsidP="00EA6FE3">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hideMark/>
          </w:tcPr>
          <w:p w:rsidR="005E4863" w:rsidRPr="005E4863" w:rsidRDefault="005E4863" w:rsidP="00761BAF">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sidR="00761BAF">
              <w:rPr>
                <w:rFonts w:cs="Calibri"/>
                <w:color w:val="00B050"/>
                <w:sz w:val="20"/>
                <w:szCs w:val="20"/>
              </w:rPr>
              <w:t>publicar</w:t>
            </w:r>
            <w:r w:rsidRPr="005E4863">
              <w:rPr>
                <w:rFonts w:cs="Calibri"/>
                <w:color w:val="00B050"/>
                <w:sz w:val="20"/>
                <w:szCs w:val="20"/>
              </w:rPr>
              <w:t xml:space="preserve"> la tabla de aplicabilidad de obligacione</w:t>
            </w:r>
            <w:r w:rsidR="00761BAF">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hideMark/>
          </w:tcPr>
          <w:p w:rsidR="005E4863" w:rsidRPr="005E4863" w:rsidRDefault="005E4863" w:rsidP="00EA6FE3">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5E4863" w:rsidRPr="0095034E" w:rsidRDefault="005E4863" w:rsidP="00EA6FE3">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4E6FC3" w:rsidRDefault="004E6FC3" w:rsidP="00534D62">
      <w:pPr>
        <w:spacing w:after="0" w:line="240" w:lineRule="auto"/>
        <w:jc w:val="both"/>
        <w:rPr>
          <w:b/>
          <w:bCs/>
          <w:color w:val="60497A"/>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Default="004E6FC3" w:rsidP="004E6FC3">
      <w:pPr>
        <w:spacing w:after="0" w:line="240" w:lineRule="auto"/>
        <w:ind w:left="851"/>
        <w:jc w:val="center"/>
        <w:rPr>
          <w:b/>
          <w:bCs/>
          <w:color w:val="B2A1C7"/>
          <w:sz w:val="28"/>
          <w:szCs w:val="28"/>
        </w:rPr>
      </w:pPr>
    </w:p>
    <w:p w:rsidR="004E6FC3" w:rsidRPr="00D16FC7" w:rsidRDefault="004E6FC3" w:rsidP="004E6FC3">
      <w:pPr>
        <w:spacing w:after="0" w:line="240" w:lineRule="auto"/>
        <w:ind w:left="851"/>
        <w:jc w:val="center"/>
        <w:rPr>
          <w:b/>
          <w:bCs/>
          <w:color w:val="B2A1C7"/>
          <w:sz w:val="28"/>
          <w:szCs w:val="28"/>
        </w:rPr>
      </w:pPr>
      <w:r w:rsidRPr="00D16FC7">
        <w:rPr>
          <w:b/>
          <w:bCs/>
          <w:color w:val="B2A1C7"/>
          <w:sz w:val="28"/>
          <w:szCs w:val="28"/>
        </w:rPr>
        <w:lastRenderedPageBreak/>
        <w:t xml:space="preserve">Tabla de Aplicabilidad de las Obligaciones de Transparencia Específicas de la </w:t>
      </w:r>
    </w:p>
    <w:p w:rsidR="004E6FC3" w:rsidRPr="00D16FC7" w:rsidRDefault="004E6FC3" w:rsidP="004E6FC3">
      <w:pPr>
        <w:spacing w:after="0" w:line="240" w:lineRule="auto"/>
        <w:ind w:left="851"/>
        <w:jc w:val="center"/>
        <w:rPr>
          <w:b/>
          <w:bCs/>
          <w:color w:val="B2A1C7"/>
          <w:sz w:val="28"/>
          <w:szCs w:val="28"/>
        </w:rPr>
      </w:pPr>
      <w:r w:rsidRPr="00D16FC7">
        <w:rPr>
          <w:b/>
          <w:bCs/>
          <w:color w:val="B2A1C7"/>
          <w:sz w:val="28"/>
          <w:szCs w:val="28"/>
        </w:rPr>
        <w:t>&lt;&lt;Comisión de Arbitraje Médico del Estado de Sinaloa&gt;&gt;</w:t>
      </w:r>
    </w:p>
    <w:p w:rsidR="004E6FC3" w:rsidRPr="00EB772A" w:rsidRDefault="004E6FC3" w:rsidP="004E6FC3">
      <w:pPr>
        <w:spacing w:after="0" w:line="240" w:lineRule="auto"/>
        <w:ind w:left="851"/>
        <w:jc w:val="both"/>
        <w:rPr>
          <w:i/>
          <w:color w:val="00B050"/>
        </w:rPr>
      </w:pPr>
    </w:p>
    <w:p w:rsidR="004E6FC3" w:rsidRPr="009E00AE" w:rsidRDefault="004E6FC3" w:rsidP="004E6FC3">
      <w:pPr>
        <w:spacing w:after="0" w:line="240" w:lineRule="auto"/>
        <w:jc w:val="both"/>
        <w:rPr>
          <w:b/>
          <w:bCs/>
          <w:color w:val="60497A"/>
        </w:rPr>
      </w:pPr>
      <w:r w:rsidRPr="009E00AE">
        <w:rPr>
          <w:b/>
          <w:bCs/>
          <w:color w:val="B2A1C7"/>
        </w:rPr>
        <w:t>Artículo 96.</w:t>
      </w:r>
      <w:r w:rsidRPr="009E00AE">
        <w:t xml:space="preserve"> Además de lo señalado en el artículo anterior, los sujetos obligados del Poder Ejecutivo y los Municipios, deberán poner a disposición del público y actualizar la siguiente información:</w:t>
      </w:r>
      <w:r w:rsidRPr="009E00AE">
        <w:rPr>
          <w:b/>
          <w:bCs/>
          <w:color w:val="60497A"/>
        </w:rPr>
        <w:t xml:space="preserve"> </w:t>
      </w:r>
    </w:p>
    <w:p w:rsidR="004E6FC3" w:rsidRDefault="004E6FC3" w:rsidP="004E6FC3">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920"/>
        <w:gridCol w:w="1275"/>
        <w:gridCol w:w="1672"/>
        <w:gridCol w:w="1861"/>
        <w:gridCol w:w="2280"/>
        <w:gridCol w:w="2740"/>
        <w:gridCol w:w="2398"/>
      </w:tblGrid>
      <w:tr w:rsidR="004E6FC3" w:rsidRPr="009E00AE" w:rsidTr="00D1758A">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LTAIPES</w:t>
            </w:r>
          </w:p>
        </w:tc>
      </w:tr>
      <w:tr w:rsidR="004E6FC3" w:rsidRPr="009E00AE" w:rsidTr="00D1758A">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Fracción</w:t>
            </w:r>
          </w:p>
        </w:tc>
        <w:tc>
          <w:tcPr>
            <w:tcW w:w="867" w:type="pct"/>
            <w:tcBorders>
              <w:top w:val="nil"/>
              <w:left w:val="nil"/>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Inciso</w:t>
            </w:r>
          </w:p>
        </w:tc>
        <w:tc>
          <w:tcPr>
            <w:tcW w:w="1042" w:type="pct"/>
            <w:tcBorders>
              <w:top w:val="nil"/>
              <w:left w:val="nil"/>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4E6FC3" w:rsidRPr="009E00AE" w:rsidRDefault="004E6FC3" w:rsidP="00D1758A">
            <w:pPr>
              <w:spacing w:after="0" w:line="240" w:lineRule="auto"/>
              <w:jc w:val="center"/>
              <w:rPr>
                <w:b/>
                <w:bCs/>
                <w:color w:val="FFFFFF"/>
                <w:sz w:val="20"/>
                <w:szCs w:val="20"/>
              </w:rPr>
            </w:pPr>
            <w:r w:rsidRPr="009E00AE">
              <w:rPr>
                <w:b/>
                <w:bCs/>
                <w:color w:val="FFFFFF"/>
                <w:sz w:val="20"/>
                <w:szCs w:val="20"/>
              </w:rPr>
              <w:t>Área(s) o unidad(es) administrativa(s) que genera(n) o posee(n) la información</w:t>
            </w:r>
          </w:p>
        </w:tc>
      </w:tr>
      <w:tr w:rsidR="004E6FC3" w:rsidRPr="009E00AE" w:rsidTr="00D1758A">
        <w:trPr>
          <w:trHeight w:val="1859"/>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Estatal</w:t>
            </w: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4E6FC3" w:rsidRPr="009E00AE" w:rsidRDefault="004E6FC3" w:rsidP="00D1758A">
            <w:pPr>
              <w:pStyle w:val="Prrafodelista"/>
              <w:spacing w:after="0" w:line="240" w:lineRule="auto"/>
              <w:ind w:left="0"/>
              <w:jc w:val="center"/>
              <w:rPr>
                <w:color w:val="000000"/>
                <w:lang w:val="es-MX" w:eastAsia="es-MX"/>
              </w:rPr>
            </w:pPr>
            <w:r w:rsidRPr="009E00AE">
              <w:rPr>
                <w:color w:val="000000"/>
                <w:lang w:val="es-MX" w:eastAsia="es-MX"/>
              </w:rPr>
              <w:t>Organismo desconcentrado</w:t>
            </w: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 En el caso del Poder Ejecutivo y los municipios:</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a) El Plan Estatal y Municipal de Desarrollo, así como los planes  y programas que deriven de ellos, según corresponda;</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5348A" w:rsidRDefault="004E6FC3" w:rsidP="00D1758A">
            <w:pPr>
              <w:spacing w:after="0" w:line="240" w:lineRule="auto"/>
              <w:jc w:val="center"/>
              <w:rPr>
                <w:b/>
                <w:color w:val="00B050"/>
                <w:sz w:val="20"/>
                <w:szCs w:val="20"/>
              </w:rPr>
            </w:pPr>
            <w:r w:rsidRPr="0095348A">
              <w:rPr>
                <w:b/>
                <w:color w:val="00B050"/>
                <w:sz w:val="20"/>
                <w:szCs w:val="20"/>
              </w:rPr>
              <w:t>Aplica</w:t>
            </w:r>
          </w:p>
          <w:p w:rsidR="004E6FC3" w:rsidRPr="0095348A" w:rsidRDefault="004E6FC3" w:rsidP="00D1758A">
            <w:pPr>
              <w:jc w:val="center"/>
              <w:rPr>
                <w:rFonts w:cs="Calibri"/>
                <w:color w:val="00B050"/>
                <w:sz w:val="20"/>
                <w:szCs w:val="20"/>
              </w:rPr>
            </w:pPr>
          </w:p>
          <w:p w:rsidR="004E6FC3" w:rsidRPr="009E00AE" w:rsidRDefault="004E6FC3" w:rsidP="00D1758A">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4E6FC3" w:rsidRPr="009E00AE" w:rsidRDefault="004E6FC3" w:rsidP="00D1758A">
            <w:pPr>
              <w:spacing w:after="0"/>
              <w:jc w:val="center"/>
              <w:rPr>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4E6FC3" w:rsidRPr="009E00AE" w:rsidTr="00D1758A">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b) La información detallada que contengan los planes de desarrollo urbano, ordenamiento territorial y ecológico, los tipos y usos de su</w:t>
            </w:r>
            <w:r>
              <w:rPr>
                <w:color w:val="2F2F2F"/>
                <w:sz w:val="20"/>
                <w:szCs w:val="20"/>
              </w:rPr>
              <w:t xml:space="preserve">elo, licencias de uso de suelo </w:t>
            </w:r>
            <w:r w:rsidRPr="009E00AE">
              <w:rPr>
                <w:color w:val="2F2F2F"/>
                <w:sz w:val="20"/>
                <w:szCs w:val="20"/>
              </w:rPr>
              <w:t>y construcción otorgadas por los gobiernos municipales.</w:t>
            </w:r>
          </w:p>
          <w:p w:rsidR="004E6FC3" w:rsidRPr="009E00AE" w:rsidRDefault="004E6FC3" w:rsidP="00D1758A">
            <w:pPr>
              <w:spacing w:after="0" w:line="240" w:lineRule="auto"/>
              <w:jc w:val="center"/>
              <w:rPr>
                <w:color w:val="2F2F2F"/>
                <w:sz w:val="20"/>
                <w:szCs w:val="20"/>
              </w:rPr>
            </w:pPr>
            <w:r w:rsidRPr="009E00AE">
              <w:rPr>
                <w:rFonts w:cs="Arial"/>
                <w:sz w:val="20"/>
                <w:szCs w:val="20"/>
              </w:rPr>
              <w:t xml:space="preserve">Asimismo, por conducto de la autoridad competente, las </w:t>
            </w:r>
            <w:r w:rsidRPr="009E00AE">
              <w:rPr>
                <w:rFonts w:cs="Arial"/>
                <w:sz w:val="20"/>
                <w:szCs w:val="20"/>
              </w:rPr>
              <w:lastRenderedPageBreak/>
              <w:t>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5348A" w:rsidRDefault="004E6FC3" w:rsidP="00D1758A">
            <w:pPr>
              <w:spacing w:after="0" w:line="240" w:lineRule="auto"/>
              <w:jc w:val="center"/>
              <w:rPr>
                <w:b/>
                <w:color w:val="00B050"/>
                <w:sz w:val="20"/>
                <w:szCs w:val="20"/>
              </w:rPr>
            </w:pPr>
            <w:r w:rsidRPr="0095348A">
              <w:rPr>
                <w:b/>
                <w:color w:val="00B050"/>
                <w:sz w:val="20"/>
                <w:szCs w:val="20"/>
              </w:rPr>
              <w:lastRenderedPageBreak/>
              <w:t>Aplica</w:t>
            </w:r>
          </w:p>
          <w:p w:rsidR="004E6FC3" w:rsidRPr="0095348A" w:rsidRDefault="004E6FC3" w:rsidP="00D1758A">
            <w:pPr>
              <w:jc w:val="center"/>
              <w:rPr>
                <w:rFonts w:cs="Calibri"/>
                <w:color w:val="00B050"/>
                <w:sz w:val="20"/>
                <w:szCs w:val="20"/>
              </w:rPr>
            </w:pPr>
          </w:p>
          <w:p w:rsidR="004E6FC3" w:rsidRPr="009E00AE" w:rsidRDefault="004E6FC3" w:rsidP="00D1758A">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tcPr>
          <w:p w:rsidR="004E6FC3" w:rsidRDefault="004E6FC3" w:rsidP="00D1758A">
            <w:pPr>
              <w:jc w:val="center"/>
              <w:rPr>
                <w:rFonts w:cs="Calibri"/>
                <w:bCs/>
                <w:color w:val="00B050"/>
                <w:sz w:val="20"/>
                <w:szCs w:val="20"/>
              </w:rPr>
            </w:pPr>
          </w:p>
          <w:p w:rsidR="004E6FC3" w:rsidRPr="009E00AE" w:rsidRDefault="004E6FC3" w:rsidP="00D1758A">
            <w:pPr>
              <w:jc w:val="center"/>
              <w:rPr>
                <w:b/>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4E6FC3" w:rsidRPr="009E00AE" w:rsidTr="00D1758A">
        <w:trPr>
          <w:trHeight w:val="1581"/>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c) El presupuesto de egresos y las fórmulas de distribución de los recursos otorgados;</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Default="004E6FC3" w:rsidP="00D1758A">
            <w:pPr>
              <w:spacing w:after="0" w:line="240" w:lineRule="auto"/>
              <w:jc w:val="center"/>
              <w:rPr>
                <w:b/>
                <w:color w:val="2F2F2F"/>
                <w:sz w:val="20"/>
                <w:szCs w:val="20"/>
              </w:rPr>
            </w:pPr>
            <w:r w:rsidRPr="009E00AE">
              <w:rPr>
                <w:b/>
                <w:color w:val="2F2F2F"/>
                <w:sz w:val="20"/>
                <w:szCs w:val="20"/>
              </w:rPr>
              <w:t>Aplica</w:t>
            </w:r>
          </w:p>
          <w:p w:rsidR="004E6FC3" w:rsidRDefault="004E6FC3" w:rsidP="00D1758A">
            <w:pPr>
              <w:jc w:val="center"/>
              <w:rPr>
                <w:rFonts w:cs="Calibri"/>
                <w:color w:val="000000"/>
                <w:sz w:val="20"/>
                <w:szCs w:val="20"/>
              </w:rPr>
            </w:pPr>
          </w:p>
          <w:p w:rsidR="004E6FC3" w:rsidRDefault="004E6FC3" w:rsidP="00D1758A">
            <w:pPr>
              <w:spacing w:after="0" w:line="240" w:lineRule="auto"/>
              <w:jc w:val="center"/>
              <w:rPr>
                <w:rFonts w:cs="Calibri"/>
                <w:color w:val="000000"/>
                <w:sz w:val="20"/>
                <w:szCs w:val="20"/>
              </w:rPr>
            </w:pPr>
            <w:r>
              <w:rPr>
                <w:rFonts w:cs="Calibri"/>
                <w:color w:val="000000"/>
                <w:sz w:val="20"/>
                <w:szCs w:val="20"/>
              </w:rPr>
              <w:t>Atendiendo lo dispuesto en el lineamiento técnico correspondiente a esta fracción</w:t>
            </w:r>
          </w:p>
          <w:p w:rsidR="004E6FC3" w:rsidRPr="009E00AE" w:rsidRDefault="004E6FC3" w:rsidP="00D1758A">
            <w:pPr>
              <w:spacing w:after="0" w:line="240" w:lineRule="auto"/>
              <w:jc w:val="center"/>
              <w:rPr>
                <w:b/>
                <w:color w:val="2F2F2F"/>
                <w:sz w:val="20"/>
                <w:szCs w:val="20"/>
              </w:rPr>
            </w:pPr>
          </w:p>
        </w:tc>
        <w:tc>
          <w:tcPr>
            <w:tcW w:w="912" w:type="pct"/>
            <w:tcBorders>
              <w:top w:val="nil"/>
              <w:left w:val="nil"/>
              <w:bottom w:val="dotted" w:sz="4" w:space="0" w:color="auto"/>
              <w:right w:val="dotted" w:sz="4" w:space="0" w:color="auto"/>
            </w:tcBorders>
            <w:shd w:val="clear" w:color="auto" w:fill="auto"/>
            <w:noWrap/>
            <w:vAlign w:val="center"/>
          </w:tcPr>
          <w:p w:rsidR="004E6FC3" w:rsidRPr="009E00AE" w:rsidRDefault="004E6FC3" w:rsidP="00D1758A">
            <w:pPr>
              <w:spacing w:after="0" w:line="240" w:lineRule="auto"/>
              <w:jc w:val="center"/>
              <w:rPr>
                <w:b/>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4E6FC3" w:rsidRPr="009E00AE" w:rsidTr="00D1758A">
        <w:trPr>
          <w:trHeight w:val="18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d)  El listado de expropiaciones decretadas y ejecutadas que incluya cuando menos la fecha de expropiación, el domicilio y la causa de utilidad pública, así como la ocupación superficial;</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5348A" w:rsidRDefault="004E6FC3" w:rsidP="00D1758A">
            <w:pPr>
              <w:spacing w:after="0" w:line="240" w:lineRule="auto"/>
              <w:jc w:val="center"/>
              <w:rPr>
                <w:b/>
                <w:color w:val="00B050"/>
                <w:sz w:val="20"/>
                <w:szCs w:val="20"/>
              </w:rPr>
            </w:pPr>
            <w:r w:rsidRPr="0095348A">
              <w:rPr>
                <w:b/>
                <w:color w:val="00B050"/>
                <w:sz w:val="20"/>
                <w:szCs w:val="20"/>
              </w:rPr>
              <w:t>Aplica</w:t>
            </w:r>
          </w:p>
          <w:p w:rsidR="004E6FC3" w:rsidRPr="0095348A" w:rsidRDefault="004E6FC3" w:rsidP="00D1758A">
            <w:pPr>
              <w:jc w:val="center"/>
              <w:rPr>
                <w:rFonts w:cs="Calibri"/>
                <w:color w:val="00B050"/>
                <w:sz w:val="20"/>
                <w:szCs w:val="20"/>
              </w:rPr>
            </w:pPr>
          </w:p>
          <w:p w:rsidR="004E6FC3" w:rsidRPr="009E00AE" w:rsidRDefault="004E6FC3" w:rsidP="00D1758A">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4E6FC3" w:rsidRPr="009E00AE" w:rsidRDefault="004E6FC3" w:rsidP="00D1758A">
            <w:pPr>
              <w:jc w:val="center"/>
              <w:rPr>
                <w:b/>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4E6FC3" w:rsidRPr="009E00AE" w:rsidTr="00D1758A">
        <w:trPr>
          <w:trHeight w:val="346"/>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5348A" w:rsidRDefault="004E6FC3" w:rsidP="00D1758A">
            <w:pPr>
              <w:spacing w:after="0" w:line="240" w:lineRule="auto"/>
              <w:jc w:val="center"/>
              <w:rPr>
                <w:b/>
                <w:color w:val="00B050"/>
                <w:sz w:val="20"/>
                <w:szCs w:val="20"/>
              </w:rPr>
            </w:pPr>
            <w:r w:rsidRPr="0095348A">
              <w:rPr>
                <w:b/>
                <w:color w:val="00B050"/>
                <w:sz w:val="20"/>
                <w:szCs w:val="20"/>
              </w:rPr>
              <w:t>Aplica</w:t>
            </w:r>
          </w:p>
          <w:p w:rsidR="004E6FC3" w:rsidRPr="0095348A" w:rsidRDefault="004E6FC3" w:rsidP="00D1758A">
            <w:pPr>
              <w:jc w:val="center"/>
              <w:rPr>
                <w:rFonts w:cs="Calibri"/>
                <w:color w:val="00B050"/>
                <w:sz w:val="20"/>
                <w:szCs w:val="20"/>
              </w:rPr>
            </w:pPr>
          </w:p>
          <w:p w:rsidR="004E6FC3" w:rsidRPr="009E00AE" w:rsidRDefault="004E6FC3" w:rsidP="00D1758A">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4E6FC3" w:rsidRPr="009E00AE" w:rsidRDefault="004E6FC3" w:rsidP="00D1758A">
            <w:pPr>
              <w:jc w:val="center"/>
              <w:rPr>
                <w:b/>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4E6FC3" w:rsidRPr="009E00AE" w:rsidTr="00D1758A">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Default="004E6FC3" w:rsidP="00D1758A">
            <w:pPr>
              <w:spacing w:after="0" w:line="240" w:lineRule="auto"/>
              <w:jc w:val="center"/>
              <w:rPr>
                <w:b/>
                <w:color w:val="2F2F2F"/>
                <w:sz w:val="20"/>
                <w:szCs w:val="20"/>
              </w:rPr>
            </w:pPr>
            <w:r>
              <w:rPr>
                <w:b/>
                <w:color w:val="2F2F2F"/>
                <w:sz w:val="20"/>
                <w:szCs w:val="20"/>
              </w:rPr>
              <w:t>A</w:t>
            </w:r>
            <w:r w:rsidRPr="009E00AE">
              <w:rPr>
                <w:b/>
                <w:color w:val="2F2F2F"/>
                <w:sz w:val="20"/>
                <w:szCs w:val="20"/>
              </w:rPr>
              <w:t>plica</w:t>
            </w:r>
          </w:p>
          <w:p w:rsidR="004E6FC3" w:rsidRDefault="004E6FC3" w:rsidP="00D1758A">
            <w:pPr>
              <w:spacing w:after="0" w:line="240" w:lineRule="auto"/>
              <w:jc w:val="center"/>
              <w:rPr>
                <w:b/>
                <w:color w:val="2F2F2F"/>
                <w:sz w:val="20"/>
                <w:szCs w:val="20"/>
              </w:rPr>
            </w:pPr>
          </w:p>
          <w:p w:rsidR="004E6FC3" w:rsidRDefault="004E6FC3" w:rsidP="00D1758A">
            <w:pPr>
              <w:spacing w:line="240" w:lineRule="auto"/>
              <w:jc w:val="center"/>
              <w:rPr>
                <w:rFonts w:cs="Calibri"/>
                <w:color w:val="000000"/>
                <w:sz w:val="20"/>
                <w:szCs w:val="20"/>
              </w:rPr>
            </w:pPr>
            <w:r>
              <w:rPr>
                <w:rFonts w:cs="Calibri"/>
                <w:color w:val="000000"/>
                <w:sz w:val="20"/>
                <w:szCs w:val="20"/>
              </w:rPr>
              <w:t>Atendiendo lo dispuesto en el lineamiento técnico correspondiente a esta fracción</w:t>
            </w:r>
          </w:p>
          <w:p w:rsidR="004E6FC3" w:rsidRPr="009E00AE" w:rsidRDefault="004E6FC3" w:rsidP="00D1758A">
            <w:pPr>
              <w:spacing w:after="0" w:line="240" w:lineRule="auto"/>
              <w:jc w:val="center"/>
              <w:rPr>
                <w:b/>
                <w:color w:val="2F2F2F"/>
                <w:sz w:val="20"/>
                <w:szCs w:val="20"/>
              </w:rPr>
            </w:pPr>
          </w:p>
        </w:tc>
        <w:tc>
          <w:tcPr>
            <w:tcW w:w="912" w:type="pct"/>
            <w:tcBorders>
              <w:top w:val="nil"/>
              <w:left w:val="nil"/>
              <w:bottom w:val="dotted" w:sz="4" w:space="0" w:color="auto"/>
              <w:right w:val="dotted" w:sz="4" w:space="0" w:color="auto"/>
            </w:tcBorders>
            <w:shd w:val="clear" w:color="auto" w:fill="auto"/>
            <w:noWrap/>
          </w:tcPr>
          <w:p w:rsidR="004E6FC3" w:rsidRDefault="004E6FC3" w:rsidP="00D1758A">
            <w:pPr>
              <w:jc w:val="center"/>
              <w:rPr>
                <w:b/>
                <w:sz w:val="20"/>
                <w:szCs w:val="20"/>
              </w:rPr>
            </w:pPr>
          </w:p>
          <w:p w:rsidR="004E6FC3" w:rsidRPr="00E21C9C" w:rsidRDefault="004E6FC3" w:rsidP="00D1758A">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Pr>
                <w:rFonts w:cs="Calibri"/>
                <w:bCs/>
                <w:sz w:val="20"/>
                <w:szCs w:val="20"/>
              </w:rPr>
              <w:t xml:space="preserve"> que publicará </w:t>
            </w:r>
            <w:r w:rsidRPr="00E21C9C">
              <w:rPr>
                <w:rFonts w:cs="Calibri"/>
                <w:bCs/>
                <w:sz w:val="20"/>
                <w:szCs w:val="20"/>
              </w:rPr>
              <w:t>la información requerida de conformidad con sus atribuciones y que forme parte de su estructura orgánica</w:t>
            </w:r>
          </w:p>
          <w:p w:rsidR="004E6FC3" w:rsidRPr="009E00AE" w:rsidRDefault="004E6FC3" w:rsidP="00D1758A">
            <w:pPr>
              <w:jc w:val="center"/>
              <w:rPr>
                <w:b/>
                <w:sz w:val="20"/>
                <w:szCs w:val="20"/>
              </w:rPr>
            </w:pPr>
          </w:p>
        </w:tc>
      </w:tr>
      <w:tr w:rsidR="004E6FC3" w:rsidRPr="009E00AE" w:rsidTr="00D1758A">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autoSpaceDE w:val="0"/>
              <w:autoSpaceDN w:val="0"/>
              <w:adjustRightInd w:val="0"/>
              <w:spacing w:after="0"/>
              <w:jc w:val="center"/>
              <w:rPr>
                <w:rFonts w:ascii="Arial" w:hAnsi="Arial" w:cs="Arial"/>
                <w:sz w:val="20"/>
                <w:szCs w:val="20"/>
              </w:rPr>
            </w:pPr>
            <w:r w:rsidRPr="009E00AE">
              <w:rPr>
                <w:color w:val="2F2F2F"/>
                <w:sz w:val="20"/>
                <w:szCs w:val="20"/>
              </w:rPr>
              <w:t xml:space="preserve">g) </w:t>
            </w:r>
            <w:r w:rsidRPr="009E00AE">
              <w:rPr>
                <w:rFonts w:cs="Arial"/>
                <w:sz w:val="20"/>
                <w:szCs w:val="20"/>
              </w:rPr>
              <w:t>Toda la información relativa a la inversión concurrente en materia energética e infraestructura de obra pública en la que participen con los sujetos obligados de la federación;</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488"/>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i) Las aportaciones en dinero o en especie que reciban de las diversas personas físicas o morales, nacionales o internacionales, a través de los centros de acopio o en las instituciones de crédito, para ayudar en comunidades de emergencia o desastre.</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II. Adicionalmente en el caso del Poder Ejecutivo:</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a) Las iniciativas de Ley, de reforma o decreto presentadas ante el Congreso de Estado;</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II.</w:t>
            </w:r>
          </w:p>
          <w:p w:rsidR="004E6FC3" w:rsidRPr="009E00AE" w:rsidRDefault="004E6FC3" w:rsidP="00D1758A">
            <w:pPr>
              <w:spacing w:after="0" w:line="240" w:lineRule="auto"/>
              <w:jc w:val="center"/>
              <w:rPr>
                <w:color w:val="000000"/>
                <w:sz w:val="20"/>
                <w:szCs w:val="20"/>
              </w:rPr>
            </w:pPr>
            <w:r w:rsidRPr="009E00AE">
              <w:rPr>
                <w:color w:val="000000"/>
                <w:sz w:val="20"/>
                <w:szCs w:val="20"/>
              </w:rP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b) La información necesaria para el adecuado y oportuno pago de las contribuciones;</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II.</w:t>
            </w:r>
          </w:p>
          <w:p w:rsidR="004E6FC3" w:rsidRPr="009E00AE" w:rsidRDefault="004E6FC3" w:rsidP="00D1758A">
            <w:pPr>
              <w:spacing w:after="0" w:line="240" w:lineRule="auto"/>
              <w:jc w:val="center"/>
              <w:rPr>
                <w:color w:val="000000"/>
                <w:sz w:val="20"/>
                <w:szCs w:val="20"/>
              </w:rPr>
            </w:pPr>
            <w:r w:rsidRPr="009E00AE">
              <w:rPr>
                <w:color w:val="000000"/>
                <w:sz w:val="20"/>
                <w:szCs w:val="20"/>
              </w:rP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c) Las estadísticas e indicadores de gestión de la procuración de justicia; y,</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r w:rsidR="004E6FC3" w:rsidRPr="009E00AE" w:rsidTr="00D1758A">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4E6FC3" w:rsidRPr="009E00AE" w:rsidRDefault="004E6FC3" w:rsidP="00D1758A">
            <w:pPr>
              <w:spacing w:after="0" w:line="240" w:lineRule="auto"/>
              <w:jc w:val="center"/>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000000"/>
                <w:sz w:val="20"/>
                <w:szCs w:val="20"/>
              </w:rPr>
            </w:pPr>
            <w:r w:rsidRPr="009E00AE">
              <w:rPr>
                <w:color w:val="000000"/>
                <w:sz w:val="20"/>
                <w:szCs w:val="20"/>
              </w:rPr>
              <w:t>II.</w:t>
            </w:r>
          </w:p>
          <w:p w:rsidR="004E6FC3" w:rsidRPr="009E00AE" w:rsidRDefault="004E6FC3" w:rsidP="00D1758A">
            <w:pPr>
              <w:spacing w:after="0" w:line="240" w:lineRule="auto"/>
              <w:jc w:val="center"/>
              <w:rPr>
                <w:color w:val="000000"/>
                <w:sz w:val="20"/>
                <w:szCs w:val="20"/>
              </w:rPr>
            </w:pPr>
            <w:r w:rsidRPr="009E00AE">
              <w:rPr>
                <w:color w:val="000000"/>
                <w:sz w:val="20"/>
                <w:szCs w:val="20"/>
              </w:rPr>
              <w:t>…</w:t>
            </w:r>
          </w:p>
        </w:tc>
        <w:tc>
          <w:tcPr>
            <w:tcW w:w="867" w:type="pct"/>
            <w:tcBorders>
              <w:top w:val="nil"/>
              <w:left w:val="nil"/>
              <w:bottom w:val="dotted" w:sz="4" w:space="0" w:color="auto"/>
              <w:right w:val="dotted" w:sz="4" w:space="0" w:color="auto"/>
            </w:tcBorders>
            <w:shd w:val="clear" w:color="auto" w:fill="auto"/>
            <w:vAlign w:val="center"/>
            <w:hideMark/>
          </w:tcPr>
          <w:p w:rsidR="004E6FC3" w:rsidRPr="009E00AE" w:rsidRDefault="004E6FC3" w:rsidP="00D1758A">
            <w:pPr>
              <w:spacing w:after="0" w:line="240" w:lineRule="auto"/>
              <w:jc w:val="center"/>
              <w:rPr>
                <w:color w:val="2F2F2F"/>
                <w:sz w:val="20"/>
                <w:szCs w:val="20"/>
              </w:rPr>
            </w:pPr>
            <w:r w:rsidRPr="009E00AE">
              <w:rPr>
                <w:color w:val="2F2F2F"/>
                <w:sz w:val="20"/>
                <w:szCs w:val="20"/>
              </w:rPr>
              <w:t xml:space="preserve">d) En materia de averiguaciones previas: estadísticas sobre el número de </w:t>
            </w:r>
            <w:r w:rsidRPr="009E00AE">
              <w:rPr>
                <w:color w:val="2F2F2F"/>
                <w:sz w:val="20"/>
                <w:szCs w:val="20"/>
              </w:rPr>
              <w:lastRenderedPageBreak/>
              <w:t>averiguaciones previas, indicando en cuantas se ejerció acción penal, en cuáles se decretó el no ejercicio, cuántas se decreto su reserva por falta de datos y por incompetencia por razón de territorio o materia.</w:t>
            </w:r>
          </w:p>
        </w:tc>
        <w:tc>
          <w:tcPr>
            <w:tcW w:w="1042" w:type="pct"/>
            <w:tcBorders>
              <w:top w:val="nil"/>
              <w:left w:val="nil"/>
              <w:bottom w:val="dotted" w:sz="4" w:space="0" w:color="auto"/>
              <w:right w:val="dotted" w:sz="4" w:space="0" w:color="auto"/>
            </w:tcBorders>
            <w:shd w:val="clear" w:color="auto" w:fill="auto"/>
            <w:noWrap/>
            <w:vAlign w:val="center"/>
            <w:hideMark/>
          </w:tcPr>
          <w:p w:rsidR="004E6FC3" w:rsidRPr="009E00AE" w:rsidRDefault="004E6FC3" w:rsidP="00D1758A">
            <w:pPr>
              <w:spacing w:after="0" w:line="240" w:lineRule="auto"/>
              <w:jc w:val="center"/>
              <w:rPr>
                <w:b/>
                <w:color w:val="2F2F2F"/>
                <w:sz w:val="20"/>
                <w:szCs w:val="20"/>
              </w:rPr>
            </w:pPr>
            <w:r w:rsidRPr="009E00AE">
              <w:rPr>
                <w:b/>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tcPr>
          <w:p w:rsidR="004E6FC3" w:rsidRPr="009E00AE" w:rsidRDefault="004E6FC3" w:rsidP="00D1758A">
            <w:pPr>
              <w:jc w:val="center"/>
              <w:rPr>
                <w:b/>
                <w:sz w:val="20"/>
                <w:szCs w:val="20"/>
              </w:rPr>
            </w:pPr>
          </w:p>
        </w:tc>
      </w:tr>
    </w:tbl>
    <w:p w:rsidR="004E6FC3" w:rsidRDefault="004E6FC3" w:rsidP="004E6FC3">
      <w:pPr>
        <w:spacing w:after="0" w:line="240" w:lineRule="auto"/>
        <w:ind w:left="851"/>
        <w:jc w:val="both"/>
        <w:rPr>
          <w:b/>
          <w:bCs/>
          <w:color w:val="60497A"/>
        </w:rPr>
      </w:pPr>
    </w:p>
    <w:p w:rsidR="004E6FC3" w:rsidRDefault="004E6FC3" w:rsidP="00534D62">
      <w:pPr>
        <w:spacing w:after="0" w:line="240" w:lineRule="auto"/>
        <w:jc w:val="both"/>
        <w:rPr>
          <w:b/>
          <w:bCs/>
          <w:color w:val="60497A"/>
        </w:rPr>
      </w:pPr>
    </w:p>
    <w:sectPr w:rsidR="004E6FC3"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48" w:rsidRDefault="00322748" w:rsidP="00763AE2">
      <w:pPr>
        <w:spacing w:after="0" w:line="240" w:lineRule="auto"/>
      </w:pPr>
      <w:r>
        <w:separator/>
      </w:r>
    </w:p>
  </w:endnote>
  <w:endnote w:type="continuationSeparator" w:id="0">
    <w:p w:rsidR="00322748" w:rsidRDefault="00322748"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48" w:rsidRDefault="00322748" w:rsidP="00763AE2">
      <w:pPr>
        <w:spacing w:after="0" w:line="240" w:lineRule="auto"/>
      </w:pPr>
      <w:r>
        <w:separator/>
      </w:r>
    </w:p>
  </w:footnote>
  <w:footnote w:type="continuationSeparator" w:id="0">
    <w:p w:rsidR="00322748" w:rsidRDefault="00322748"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E90C0C">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14752"/>
    <w:rsid w:val="000216A0"/>
    <w:rsid w:val="00041749"/>
    <w:rsid w:val="00056175"/>
    <w:rsid w:val="000731B2"/>
    <w:rsid w:val="000867C6"/>
    <w:rsid w:val="000A154F"/>
    <w:rsid w:val="000A6B19"/>
    <w:rsid w:val="000B328D"/>
    <w:rsid w:val="000E3D69"/>
    <w:rsid w:val="00104EC1"/>
    <w:rsid w:val="00106D87"/>
    <w:rsid w:val="001112FB"/>
    <w:rsid w:val="00136E6B"/>
    <w:rsid w:val="001441D4"/>
    <w:rsid w:val="001620D0"/>
    <w:rsid w:val="00164E99"/>
    <w:rsid w:val="00167A5E"/>
    <w:rsid w:val="001A2D29"/>
    <w:rsid w:val="001B1637"/>
    <w:rsid w:val="001C1B1A"/>
    <w:rsid w:val="001C59CB"/>
    <w:rsid w:val="001C7363"/>
    <w:rsid w:val="001D4947"/>
    <w:rsid w:val="001D747A"/>
    <w:rsid w:val="001E65F1"/>
    <w:rsid w:val="001F442D"/>
    <w:rsid w:val="002010DF"/>
    <w:rsid w:val="002047E0"/>
    <w:rsid w:val="0022246F"/>
    <w:rsid w:val="00222986"/>
    <w:rsid w:val="002263CD"/>
    <w:rsid w:val="00233D0A"/>
    <w:rsid w:val="00243E05"/>
    <w:rsid w:val="00257185"/>
    <w:rsid w:val="00262C53"/>
    <w:rsid w:val="00264138"/>
    <w:rsid w:val="002744BC"/>
    <w:rsid w:val="0028212D"/>
    <w:rsid w:val="00285833"/>
    <w:rsid w:val="00285FEB"/>
    <w:rsid w:val="002962D2"/>
    <w:rsid w:val="002A0D48"/>
    <w:rsid w:val="002B21D0"/>
    <w:rsid w:val="002B66D5"/>
    <w:rsid w:val="002C75B8"/>
    <w:rsid w:val="002D2629"/>
    <w:rsid w:val="002D5E69"/>
    <w:rsid w:val="002F398A"/>
    <w:rsid w:val="0030061F"/>
    <w:rsid w:val="00305729"/>
    <w:rsid w:val="003153C7"/>
    <w:rsid w:val="003171E0"/>
    <w:rsid w:val="003214C5"/>
    <w:rsid w:val="00322748"/>
    <w:rsid w:val="00325489"/>
    <w:rsid w:val="00325583"/>
    <w:rsid w:val="003315C6"/>
    <w:rsid w:val="00342F25"/>
    <w:rsid w:val="00384BF7"/>
    <w:rsid w:val="003A102E"/>
    <w:rsid w:val="003F4600"/>
    <w:rsid w:val="00402FB8"/>
    <w:rsid w:val="00414074"/>
    <w:rsid w:val="00415002"/>
    <w:rsid w:val="0041766F"/>
    <w:rsid w:val="00423135"/>
    <w:rsid w:val="004248C3"/>
    <w:rsid w:val="00431616"/>
    <w:rsid w:val="00457BDA"/>
    <w:rsid w:val="00461E1F"/>
    <w:rsid w:val="00462645"/>
    <w:rsid w:val="004679BE"/>
    <w:rsid w:val="00495C50"/>
    <w:rsid w:val="004B6085"/>
    <w:rsid w:val="004D577A"/>
    <w:rsid w:val="004E6FC3"/>
    <w:rsid w:val="0050360C"/>
    <w:rsid w:val="00514040"/>
    <w:rsid w:val="00534D62"/>
    <w:rsid w:val="00545ACF"/>
    <w:rsid w:val="00554264"/>
    <w:rsid w:val="00557596"/>
    <w:rsid w:val="0056370B"/>
    <w:rsid w:val="00564AA7"/>
    <w:rsid w:val="005934AD"/>
    <w:rsid w:val="005A59B1"/>
    <w:rsid w:val="005B1F0B"/>
    <w:rsid w:val="005C7458"/>
    <w:rsid w:val="005E3AFE"/>
    <w:rsid w:val="005E4863"/>
    <w:rsid w:val="00610F84"/>
    <w:rsid w:val="00614EB8"/>
    <w:rsid w:val="00621150"/>
    <w:rsid w:val="006276D3"/>
    <w:rsid w:val="00643FF6"/>
    <w:rsid w:val="0064599D"/>
    <w:rsid w:val="006531C6"/>
    <w:rsid w:val="00667E9A"/>
    <w:rsid w:val="00686F88"/>
    <w:rsid w:val="006A3FE9"/>
    <w:rsid w:val="006C13EA"/>
    <w:rsid w:val="006C7D33"/>
    <w:rsid w:val="006D10D8"/>
    <w:rsid w:val="006D14D5"/>
    <w:rsid w:val="006D2423"/>
    <w:rsid w:val="006D28AA"/>
    <w:rsid w:val="006E43B3"/>
    <w:rsid w:val="006E4D1D"/>
    <w:rsid w:val="006E5C09"/>
    <w:rsid w:val="006F48A7"/>
    <w:rsid w:val="006F5F61"/>
    <w:rsid w:val="007031F8"/>
    <w:rsid w:val="00707F0F"/>
    <w:rsid w:val="0071003C"/>
    <w:rsid w:val="0072086C"/>
    <w:rsid w:val="00730B2B"/>
    <w:rsid w:val="007314DD"/>
    <w:rsid w:val="00734655"/>
    <w:rsid w:val="00734905"/>
    <w:rsid w:val="007409A9"/>
    <w:rsid w:val="00744DDA"/>
    <w:rsid w:val="007606E9"/>
    <w:rsid w:val="00761BAF"/>
    <w:rsid w:val="00763AE2"/>
    <w:rsid w:val="007A17E7"/>
    <w:rsid w:val="007B0FC7"/>
    <w:rsid w:val="007D3DF4"/>
    <w:rsid w:val="007E5915"/>
    <w:rsid w:val="007F33D8"/>
    <w:rsid w:val="00803D48"/>
    <w:rsid w:val="008070E6"/>
    <w:rsid w:val="0082365B"/>
    <w:rsid w:val="008413CB"/>
    <w:rsid w:val="0085324B"/>
    <w:rsid w:val="00864C64"/>
    <w:rsid w:val="00864E59"/>
    <w:rsid w:val="00873778"/>
    <w:rsid w:val="00880B48"/>
    <w:rsid w:val="00880D48"/>
    <w:rsid w:val="008874F8"/>
    <w:rsid w:val="00892216"/>
    <w:rsid w:val="008A3338"/>
    <w:rsid w:val="008D0FAA"/>
    <w:rsid w:val="008D3747"/>
    <w:rsid w:val="008D58AC"/>
    <w:rsid w:val="009016E5"/>
    <w:rsid w:val="0091347C"/>
    <w:rsid w:val="00913825"/>
    <w:rsid w:val="00922057"/>
    <w:rsid w:val="00922E7F"/>
    <w:rsid w:val="00922F27"/>
    <w:rsid w:val="00926FAD"/>
    <w:rsid w:val="00931A21"/>
    <w:rsid w:val="0095034E"/>
    <w:rsid w:val="00951EA4"/>
    <w:rsid w:val="00954472"/>
    <w:rsid w:val="00970527"/>
    <w:rsid w:val="00970893"/>
    <w:rsid w:val="00982F88"/>
    <w:rsid w:val="00986B0F"/>
    <w:rsid w:val="00987E11"/>
    <w:rsid w:val="009901F6"/>
    <w:rsid w:val="00990D83"/>
    <w:rsid w:val="00993C5D"/>
    <w:rsid w:val="00997A44"/>
    <w:rsid w:val="009A025C"/>
    <w:rsid w:val="009A3AF4"/>
    <w:rsid w:val="009C0304"/>
    <w:rsid w:val="009C25DB"/>
    <w:rsid w:val="009E405E"/>
    <w:rsid w:val="00A02588"/>
    <w:rsid w:val="00A06996"/>
    <w:rsid w:val="00A37E96"/>
    <w:rsid w:val="00A52B2A"/>
    <w:rsid w:val="00A61DEC"/>
    <w:rsid w:val="00A63C3E"/>
    <w:rsid w:val="00A65C0E"/>
    <w:rsid w:val="00A83D2C"/>
    <w:rsid w:val="00A8428A"/>
    <w:rsid w:val="00A94C08"/>
    <w:rsid w:val="00A96370"/>
    <w:rsid w:val="00AC7ABA"/>
    <w:rsid w:val="00AD413E"/>
    <w:rsid w:val="00AD418E"/>
    <w:rsid w:val="00AD574B"/>
    <w:rsid w:val="00AF7637"/>
    <w:rsid w:val="00B04730"/>
    <w:rsid w:val="00B2279B"/>
    <w:rsid w:val="00B2460F"/>
    <w:rsid w:val="00B366FD"/>
    <w:rsid w:val="00B43A8D"/>
    <w:rsid w:val="00B54DFB"/>
    <w:rsid w:val="00B744CC"/>
    <w:rsid w:val="00B76803"/>
    <w:rsid w:val="00B81FDE"/>
    <w:rsid w:val="00BA08EC"/>
    <w:rsid w:val="00BA18AA"/>
    <w:rsid w:val="00BA26B3"/>
    <w:rsid w:val="00BA3CD1"/>
    <w:rsid w:val="00BA5ABC"/>
    <w:rsid w:val="00BC0E34"/>
    <w:rsid w:val="00BE5107"/>
    <w:rsid w:val="00BF4518"/>
    <w:rsid w:val="00C0163B"/>
    <w:rsid w:val="00C017CE"/>
    <w:rsid w:val="00C2194F"/>
    <w:rsid w:val="00C4617C"/>
    <w:rsid w:val="00C6302E"/>
    <w:rsid w:val="00C66099"/>
    <w:rsid w:val="00C824BD"/>
    <w:rsid w:val="00C86848"/>
    <w:rsid w:val="00CA0824"/>
    <w:rsid w:val="00CD1F2A"/>
    <w:rsid w:val="00CE17D9"/>
    <w:rsid w:val="00CE2EC3"/>
    <w:rsid w:val="00CF3164"/>
    <w:rsid w:val="00D1758A"/>
    <w:rsid w:val="00D4271F"/>
    <w:rsid w:val="00D9164E"/>
    <w:rsid w:val="00DA6791"/>
    <w:rsid w:val="00DB1062"/>
    <w:rsid w:val="00DB3624"/>
    <w:rsid w:val="00DC40D1"/>
    <w:rsid w:val="00DC4875"/>
    <w:rsid w:val="00DC5804"/>
    <w:rsid w:val="00DC6732"/>
    <w:rsid w:val="00DC7FE8"/>
    <w:rsid w:val="00DE1D45"/>
    <w:rsid w:val="00E04926"/>
    <w:rsid w:val="00E22E14"/>
    <w:rsid w:val="00E341FF"/>
    <w:rsid w:val="00E35E4F"/>
    <w:rsid w:val="00E36E35"/>
    <w:rsid w:val="00E50E9B"/>
    <w:rsid w:val="00E65F11"/>
    <w:rsid w:val="00E7471C"/>
    <w:rsid w:val="00E81A04"/>
    <w:rsid w:val="00E82642"/>
    <w:rsid w:val="00E90C0C"/>
    <w:rsid w:val="00E97488"/>
    <w:rsid w:val="00EA6FE3"/>
    <w:rsid w:val="00EA7A1F"/>
    <w:rsid w:val="00EB304A"/>
    <w:rsid w:val="00EB7311"/>
    <w:rsid w:val="00EB76C4"/>
    <w:rsid w:val="00EE16DF"/>
    <w:rsid w:val="00EE33B7"/>
    <w:rsid w:val="00EE5FA4"/>
    <w:rsid w:val="00EF44D8"/>
    <w:rsid w:val="00F27B5B"/>
    <w:rsid w:val="00F27FCF"/>
    <w:rsid w:val="00F307FE"/>
    <w:rsid w:val="00F50015"/>
    <w:rsid w:val="00F509A5"/>
    <w:rsid w:val="00F55EA1"/>
    <w:rsid w:val="00F81885"/>
    <w:rsid w:val="00F836A3"/>
    <w:rsid w:val="00F910E5"/>
    <w:rsid w:val="00F97083"/>
    <w:rsid w:val="00FE4A42"/>
    <w:rsid w:val="00FE5909"/>
    <w:rsid w:val="00FE741B"/>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DFDD"/>
  <w15:chartTrackingRefBased/>
  <w15:docId w15:val="{A871CF0A-0AFF-4D73-872D-8DD4E27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813640630">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434013837">
      <w:bodyDiv w:val="1"/>
      <w:marLeft w:val="0"/>
      <w:marRight w:val="0"/>
      <w:marTop w:val="0"/>
      <w:marBottom w:val="0"/>
      <w:divBdr>
        <w:top w:val="none" w:sz="0" w:space="0" w:color="auto"/>
        <w:left w:val="none" w:sz="0" w:space="0" w:color="auto"/>
        <w:bottom w:val="none" w:sz="0" w:space="0" w:color="auto"/>
        <w:right w:val="none" w:sz="0" w:space="0" w:color="auto"/>
      </w:divBdr>
    </w:div>
    <w:div w:id="1867984147">
      <w:bodyDiv w:val="1"/>
      <w:marLeft w:val="0"/>
      <w:marRight w:val="0"/>
      <w:marTop w:val="0"/>
      <w:marBottom w:val="0"/>
      <w:divBdr>
        <w:top w:val="none" w:sz="0" w:space="0" w:color="auto"/>
        <w:left w:val="none" w:sz="0" w:space="0" w:color="auto"/>
        <w:bottom w:val="none" w:sz="0" w:space="0" w:color="auto"/>
        <w:right w:val="none" w:sz="0" w:space="0" w:color="auto"/>
      </w:divBdr>
    </w:div>
    <w:div w:id="1943878521">
      <w:bodyDiv w:val="1"/>
      <w:marLeft w:val="0"/>
      <w:marRight w:val="0"/>
      <w:marTop w:val="0"/>
      <w:marBottom w:val="0"/>
      <w:divBdr>
        <w:top w:val="none" w:sz="0" w:space="0" w:color="auto"/>
        <w:left w:val="none" w:sz="0" w:space="0" w:color="auto"/>
        <w:bottom w:val="none" w:sz="0" w:space="0" w:color="auto"/>
        <w:right w:val="none" w:sz="0" w:space="0" w:color="auto"/>
      </w:divBdr>
    </w:div>
    <w:div w:id="2046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0DF5-2C7F-4DD8-9C50-863EEB13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3226</Words>
  <Characters>17748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2016-07-04T18:24:00Z</cp:lastPrinted>
  <dcterms:created xsi:type="dcterms:W3CDTF">2018-04-06T15:21:00Z</dcterms:created>
  <dcterms:modified xsi:type="dcterms:W3CDTF">2018-04-06T15:21:00Z</dcterms:modified>
</cp:coreProperties>
</file>