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42"/>
      </w:tblGrid>
      <w:tr w:rsidR="00091285" w:rsidRPr="00E1388F" w14:paraId="31D6CD34" w14:textId="77777777" w:rsidTr="003578C1">
        <w:trPr>
          <w:trHeight w:val="300"/>
          <w:tblCellSpacing w:w="20" w:type="dxa"/>
        </w:trPr>
        <w:tc>
          <w:tcPr>
            <w:tcW w:w="3054" w:type="dxa"/>
            <w:shd w:val="clear" w:color="auto" w:fill="BFBFBF" w:themeFill="background1" w:themeFillShade="BF"/>
            <w:noWrap/>
            <w:vAlign w:val="center"/>
            <w:hideMark/>
          </w:tcPr>
          <w:p w14:paraId="73C7FAE7" w14:textId="087C0D5F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Nombre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00ED7CBB" w14:textId="517E36C6" w:rsidR="00091285" w:rsidRPr="00AA45DE" w:rsidRDefault="00091285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Fondo de Aportaciones para la Seguridad Pública (FASP)</w:t>
            </w:r>
          </w:p>
        </w:tc>
      </w:tr>
      <w:tr w:rsidR="00091285" w:rsidRPr="00E1388F" w14:paraId="6F6202EB" w14:textId="77777777" w:rsidTr="003578C1">
        <w:trPr>
          <w:trHeight w:val="300"/>
          <w:tblCellSpacing w:w="20" w:type="dxa"/>
        </w:trPr>
        <w:tc>
          <w:tcPr>
            <w:tcW w:w="3054" w:type="dxa"/>
            <w:shd w:val="clear" w:color="auto" w:fill="BFBFBF" w:themeFill="background1" w:themeFillShade="BF"/>
            <w:noWrap/>
            <w:vAlign w:val="center"/>
          </w:tcPr>
          <w:p w14:paraId="238432D7" w14:textId="431A00F3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Dependencia/entidad: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219F17D5" w14:textId="7DB0B16A" w:rsidR="00091285" w:rsidRPr="00AA45DE" w:rsidRDefault="009F20AE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Secretariado Ejecutivo del Sistema Estatal de Seguridad Pública de Sinaloa</w:t>
            </w:r>
          </w:p>
        </w:tc>
      </w:tr>
      <w:tr w:rsidR="00091285" w:rsidRPr="00E1388F" w14:paraId="180EC860" w14:textId="77777777" w:rsidTr="003578C1">
        <w:trPr>
          <w:trHeight w:val="300"/>
          <w:tblCellSpacing w:w="20" w:type="dxa"/>
        </w:trPr>
        <w:tc>
          <w:tcPr>
            <w:tcW w:w="3054" w:type="dxa"/>
            <w:shd w:val="clear" w:color="auto" w:fill="BFBFBF" w:themeFill="background1" w:themeFillShade="BF"/>
            <w:noWrap/>
            <w:vAlign w:val="center"/>
          </w:tcPr>
          <w:p w14:paraId="50DFFD48" w14:textId="5873994E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Unidad responsable del programa: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3C049D2E" w14:textId="10E97F68" w:rsidR="00091285" w:rsidRPr="00AA45DE" w:rsidRDefault="00091285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Secretariado Ejecutivo del Sistema Estatal de Seguridad Pública de Sinaloa</w:t>
            </w:r>
          </w:p>
        </w:tc>
      </w:tr>
      <w:tr w:rsidR="00091285" w:rsidRPr="00E1388F" w14:paraId="08D13584" w14:textId="77777777" w:rsidTr="003578C1">
        <w:trPr>
          <w:trHeight w:val="300"/>
          <w:tblCellSpacing w:w="20" w:type="dxa"/>
        </w:trPr>
        <w:tc>
          <w:tcPr>
            <w:tcW w:w="3054" w:type="dxa"/>
            <w:shd w:val="clear" w:color="auto" w:fill="BFBFBF" w:themeFill="background1" w:themeFillShade="BF"/>
            <w:noWrap/>
            <w:vAlign w:val="center"/>
          </w:tcPr>
          <w:p w14:paraId="13DBBB96" w14:textId="0790F9A8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Tipo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6FB834DF" w14:textId="47D24B35" w:rsidR="00091285" w:rsidRPr="00AA45DE" w:rsidRDefault="00091285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Evaluación Específica de Desempeño</w:t>
            </w:r>
          </w:p>
        </w:tc>
      </w:tr>
      <w:tr w:rsidR="00091285" w:rsidRPr="00E1388F" w14:paraId="0AAD0A04" w14:textId="77777777" w:rsidTr="003578C1">
        <w:trPr>
          <w:trHeight w:val="300"/>
          <w:tblCellSpacing w:w="20" w:type="dxa"/>
        </w:trPr>
        <w:tc>
          <w:tcPr>
            <w:tcW w:w="3054" w:type="dxa"/>
            <w:shd w:val="clear" w:color="auto" w:fill="BFBFBF" w:themeFill="background1" w:themeFillShade="BF"/>
            <w:noWrap/>
            <w:vAlign w:val="center"/>
          </w:tcPr>
          <w:p w14:paraId="7B3C4A1F" w14:textId="16F0DC64" w:rsidR="00091285" w:rsidRPr="00AA45DE" w:rsidRDefault="00091285" w:rsidP="009F20A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Año de evaluación:</w:t>
            </w:r>
          </w:p>
        </w:tc>
        <w:tc>
          <w:tcPr>
            <w:tcW w:w="6182" w:type="dxa"/>
            <w:shd w:val="clear" w:color="auto" w:fill="BFBFBF" w:themeFill="background1" w:themeFillShade="BF"/>
            <w:vAlign w:val="bottom"/>
          </w:tcPr>
          <w:p w14:paraId="52F48C09" w14:textId="6118605B" w:rsidR="00091285" w:rsidRPr="00AA45DE" w:rsidRDefault="00091285" w:rsidP="00E1388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AA45D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201</w:t>
            </w:r>
            <w:r w:rsidR="00C549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</w:tr>
      <w:tr w:rsidR="00091285" w:rsidRPr="00E1388F" w14:paraId="0F5B205E" w14:textId="77777777" w:rsidTr="003578C1">
        <w:trPr>
          <w:trHeight w:val="300"/>
          <w:tblCellSpacing w:w="20" w:type="dxa"/>
        </w:trPr>
        <w:tc>
          <w:tcPr>
            <w:tcW w:w="9276" w:type="dxa"/>
            <w:gridSpan w:val="2"/>
            <w:shd w:val="clear" w:color="auto" w:fill="861D31"/>
            <w:noWrap/>
            <w:vAlign w:val="center"/>
          </w:tcPr>
          <w:p w14:paraId="5218755C" w14:textId="15263EF0" w:rsidR="00091285" w:rsidRPr="00AA45DE" w:rsidRDefault="00AA45DE" w:rsidP="009F20A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</w:pPr>
            <w:r>
              <w:rPr>
                <w:rFonts w:eastAsia="Times New Roman"/>
                <w:b/>
                <w:bCs/>
                <w:color w:val="F2F2F2" w:themeColor="background1" w:themeShade="F2"/>
                <w:lang w:eastAsia="es-MX"/>
              </w:rPr>
              <w:t>Uso de los hallazgos de la evaluación</w:t>
            </w:r>
          </w:p>
        </w:tc>
      </w:tr>
    </w:tbl>
    <w:p w14:paraId="77492E1D" w14:textId="57D50EE8" w:rsidR="00AA45DE" w:rsidRDefault="00AA45DE" w:rsidP="00F77312">
      <w:pPr>
        <w:spacing w:after="0"/>
      </w:pPr>
    </w:p>
    <w:tbl>
      <w:tblPr>
        <w:tblStyle w:val="Tablaconcuadrcula"/>
        <w:tblpPr w:leftFromText="141" w:rightFromText="141" w:vertAnchor="text" w:tblpX="-10" w:tblpY="1"/>
        <w:tblOverlap w:val="never"/>
        <w:tblW w:w="93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7"/>
        <w:gridCol w:w="2987"/>
        <w:gridCol w:w="1832"/>
      </w:tblGrid>
      <w:tr w:rsidR="00F77312" w:rsidRPr="00F77312" w14:paraId="58322C92" w14:textId="77777777" w:rsidTr="003578C1">
        <w:tc>
          <w:tcPr>
            <w:tcW w:w="4537" w:type="dxa"/>
            <w:shd w:val="clear" w:color="auto" w:fill="861D31"/>
            <w:vAlign w:val="center"/>
          </w:tcPr>
          <w:p w14:paraId="4C192136" w14:textId="7EC1C8B5" w:rsidR="00F77312" w:rsidRPr="00F77312" w:rsidRDefault="00F77312" w:rsidP="003578C1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Texto del Informe</w:t>
            </w:r>
          </w:p>
        </w:tc>
        <w:tc>
          <w:tcPr>
            <w:tcW w:w="2987" w:type="dxa"/>
            <w:shd w:val="clear" w:color="auto" w:fill="861D31"/>
            <w:vAlign w:val="center"/>
          </w:tcPr>
          <w:p w14:paraId="7B1BE5C3" w14:textId="29DC6758" w:rsidR="00F77312" w:rsidRPr="00F77312" w:rsidRDefault="00F77312" w:rsidP="003578C1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Punto de vista de la Dependencia o Entidad</w:t>
            </w:r>
          </w:p>
        </w:tc>
        <w:tc>
          <w:tcPr>
            <w:tcW w:w="1832" w:type="dxa"/>
            <w:shd w:val="clear" w:color="auto" w:fill="861D31"/>
            <w:vAlign w:val="center"/>
          </w:tcPr>
          <w:p w14:paraId="784A5F2D" w14:textId="59094A28" w:rsidR="00F77312" w:rsidRPr="00F77312" w:rsidRDefault="00F77312" w:rsidP="003578C1">
            <w:pPr>
              <w:spacing w:after="0"/>
              <w:jc w:val="center"/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>Acción de mejora derivada de la evaluación</w:t>
            </w:r>
          </w:p>
        </w:tc>
      </w:tr>
      <w:tr w:rsidR="00F77312" w:rsidRPr="00930172" w14:paraId="4D3C4EB2" w14:textId="77777777" w:rsidTr="003578C1">
        <w:tc>
          <w:tcPr>
            <w:tcW w:w="4537" w:type="dxa"/>
          </w:tcPr>
          <w:p w14:paraId="17E4B42F" w14:textId="7E32807A" w:rsidR="00F77312" w:rsidRPr="00930172" w:rsidRDefault="00AA520E" w:rsidP="00AA520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</w:t>
            </w:r>
            <w:r w:rsidRPr="00AA520E">
              <w:rPr>
                <w:rFonts w:asciiTheme="minorHAnsi" w:hAnsiTheme="minorHAnsi"/>
                <w:sz w:val="24"/>
                <w:szCs w:val="24"/>
              </w:rPr>
              <w:t xml:space="preserve"> tienen identificados en los procedimientos que no favorecen el cumplimiento de los objetivos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con oportunidad,</w:t>
            </w:r>
            <w:r w:rsidRPr="00AA520E">
              <w:rPr>
                <w:rFonts w:asciiTheme="minorHAnsi" w:hAnsiTheme="minorHAnsi"/>
                <w:sz w:val="24"/>
                <w:szCs w:val="24"/>
              </w:rPr>
              <w:t xml:space="preserve"> los tiempos requeridos en los procesos de los protocolos de firma del Anexo Técnico, de la licitación centralizada para la adquisición de bienes y servicios, reprogramaciones con excesivas regulaciones para su autorización, teniendo como resultado los desfasamientos de tiempos que se han requerido para realizar un ejercicio presupuestal con mayor eficiencia.</w:t>
            </w:r>
          </w:p>
        </w:tc>
        <w:tc>
          <w:tcPr>
            <w:tcW w:w="2987" w:type="dxa"/>
          </w:tcPr>
          <w:p w14:paraId="3BE12C11" w14:textId="2A914508" w:rsidR="00F77312" w:rsidRPr="003F09A1" w:rsidRDefault="001C6638" w:rsidP="001C6638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Esta situación nos lleva a realizar ejercicios fiscales de ocho meses, alcanzando metas parciales en algunos programas.</w:t>
            </w:r>
          </w:p>
        </w:tc>
        <w:tc>
          <w:tcPr>
            <w:tcW w:w="1832" w:type="dxa"/>
          </w:tcPr>
          <w:p w14:paraId="48645C78" w14:textId="545D370D" w:rsidR="00F77312" w:rsidRPr="003F09A1" w:rsidRDefault="0035745F" w:rsidP="00930172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M</w:t>
            </w:r>
            <w:r w:rsidR="001C6638" w:rsidRPr="001C6638">
              <w:rPr>
                <w:rFonts w:asciiTheme="minorHAnsi" w:hAnsiTheme="minorHAnsi"/>
                <w:iCs/>
                <w:sz w:val="24"/>
                <w:szCs w:val="24"/>
              </w:rPr>
              <w:t>ejorar los tiempos de gestión de firmas del Anexo Técnico, lo que permitirá contar con resultados que simplifiquen el proceso del ejercicio del FASP.</w:t>
            </w:r>
          </w:p>
        </w:tc>
      </w:tr>
    </w:tbl>
    <w:p w14:paraId="1715C012" w14:textId="77777777" w:rsidR="0035745F" w:rsidRDefault="0035745F"/>
    <w:tbl>
      <w:tblPr>
        <w:tblW w:w="935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6"/>
      </w:tblGrid>
      <w:tr w:rsidR="003414E8" w:rsidRPr="00930172" w14:paraId="1DB21BBB" w14:textId="77777777" w:rsidTr="0035745F">
        <w:trPr>
          <w:trHeight w:val="300"/>
          <w:tblCellSpacing w:w="20" w:type="dxa"/>
        </w:trPr>
        <w:tc>
          <w:tcPr>
            <w:tcW w:w="9276" w:type="dxa"/>
            <w:shd w:val="clear" w:color="auto" w:fill="861D31"/>
            <w:noWrap/>
            <w:vAlign w:val="center"/>
          </w:tcPr>
          <w:p w14:paraId="0C0B0456" w14:textId="76F371AC" w:rsidR="003414E8" w:rsidRPr="00930172" w:rsidRDefault="00E12CA5" w:rsidP="0093017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2F2F2" w:themeColor="background1" w:themeShade="F2"/>
                <w:sz w:val="24"/>
                <w:szCs w:val="24"/>
                <w:lang w:eastAsia="es-MX"/>
              </w:rPr>
            </w:pPr>
            <w:r w:rsidRPr="00930172">
              <w:rPr>
                <w:rFonts w:asciiTheme="minorHAnsi" w:eastAsia="Times New Roman" w:hAnsiTheme="minorHAnsi"/>
                <w:b/>
                <w:bCs/>
                <w:color w:val="F2F2F2" w:themeColor="background1" w:themeShade="F2"/>
                <w:sz w:val="24"/>
                <w:szCs w:val="24"/>
                <w:lang w:eastAsia="es-MX"/>
              </w:rPr>
              <w:t>Posición Institucional respecto de la evaluación</w:t>
            </w:r>
          </w:p>
        </w:tc>
      </w:tr>
    </w:tbl>
    <w:p w14:paraId="1C0BA891" w14:textId="745CD735" w:rsidR="00EC63B6" w:rsidRDefault="00EC63B6" w:rsidP="0093017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0FEF8DB4" w14:textId="77777777" w:rsidR="00D03957" w:rsidRPr="00D03957" w:rsidRDefault="00D03957" w:rsidP="00D03957">
      <w:pPr>
        <w:numPr>
          <w:ilvl w:val="0"/>
          <w:numId w:val="49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03957">
        <w:rPr>
          <w:rFonts w:asciiTheme="minorHAnsi" w:hAnsiTheme="minorHAnsi"/>
          <w:sz w:val="24"/>
          <w:szCs w:val="24"/>
          <w:lang w:val="es-ES"/>
        </w:rPr>
        <w:t>Se cumplió con el objetivo establecido en los “Términos de Referencia para la Evaluación estratégica de diseño y orientación a resultados del Fondo de Aportaciones para la Seguridad Pública de los Estados y del Distrito Federal” (TdR), respecto de analizar y valorar el diseño y la orientación a resultados para la identificación de áreas de mejora y la generación de información que contribuya a su fortalecimiento, consolidación y mejora de su desempeño.</w:t>
      </w:r>
    </w:p>
    <w:p w14:paraId="6D512730" w14:textId="77777777" w:rsidR="00D03957" w:rsidRPr="00D03957" w:rsidRDefault="00D03957" w:rsidP="00D03957">
      <w:pPr>
        <w:numPr>
          <w:ilvl w:val="0"/>
          <w:numId w:val="49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03957">
        <w:rPr>
          <w:rFonts w:asciiTheme="minorHAnsi" w:hAnsiTheme="minorHAnsi"/>
          <w:sz w:val="24"/>
          <w:szCs w:val="24"/>
          <w:lang w:val="es-ES"/>
        </w:rPr>
        <w:lastRenderedPageBreak/>
        <w:t>La evaluación se realizó mediante un ejercicio sistemático de acopio, valoración y análisis de la documentación más relevante sobre el Fondo, con el fin de contar con un diagnóstico sobre la capacidad institucional, organizacional y de gestión.</w:t>
      </w:r>
    </w:p>
    <w:p w14:paraId="19CD620F" w14:textId="77777777" w:rsidR="002B45DE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3.1 Sobre los resultados de la evaluación</w:t>
      </w:r>
    </w:p>
    <w:p w14:paraId="3399540F" w14:textId="77777777" w:rsidR="00D03957" w:rsidRPr="00D03957" w:rsidRDefault="00D03957" w:rsidP="00D03957">
      <w:pPr>
        <w:numPr>
          <w:ilvl w:val="0"/>
          <w:numId w:val="49"/>
        </w:num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D03957">
        <w:rPr>
          <w:rFonts w:asciiTheme="minorHAnsi" w:hAnsiTheme="minorHAnsi"/>
          <w:b/>
          <w:bCs/>
          <w:sz w:val="24"/>
          <w:szCs w:val="24"/>
          <w:lang w:val="es-ES"/>
        </w:rPr>
        <w:t xml:space="preserve">Con los resultados de esta evaluación, que derivaron del análisis y valoración de la operación del Fondo de Aportaciones para la Seguridad Pública de los Estados y del Distrito Federal (Fondo), se espera contribuir al fortalecimiento, consolidación y mejora de su desempeño, de modo que se permita orientar su gestión a la consecución de resultados de manera eficaz y eficiente. </w:t>
      </w:r>
    </w:p>
    <w:p w14:paraId="47CF9E56" w14:textId="77777777" w:rsidR="00D03957" w:rsidRPr="00930172" w:rsidRDefault="00D03957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7167900" w14:textId="295A6AE7" w:rsidR="002B45DE" w:rsidRPr="00930172" w:rsidRDefault="002B45DE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3.2 Sobre el proceso de la evaluación</w:t>
      </w:r>
    </w:p>
    <w:p w14:paraId="258F8DE7" w14:textId="2A6CE636" w:rsidR="00D03957" w:rsidRDefault="00D03957" w:rsidP="00D03957">
      <w:pPr>
        <w:pStyle w:val="Prrafodelista"/>
        <w:numPr>
          <w:ilvl w:val="0"/>
          <w:numId w:val="48"/>
        </w:numPr>
        <w:spacing w:line="240" w:lineRule="auto"/>
        <w:ind w:right="-141"/>
        <w:jc w:val="both"/>
        <w:rPr>
          <w:rFonts w:asciiTheme="minorHAnsi" w:hAnsiTheme="minorHAnsi"/>
          <w:bCs/>
          <w:sz w:val="24"/>
          <w:szCs w:val="24"/>
          <w:lang w:val="es-ES"/>
        </w:rPr>
      </w:pPr>
      <w:r w:rsidRPr="00930172">
        <w:rPr>
          <w:rFonts w:asciiTheme="minorHAnsi" w:hAnsiTheme="minorHAnsi"/>
          <w:bCs/>
          <w:sz w:val="24"/>
          <w:szCs w:val="24"/>
          <w:lang w:val="es-ES"/>
        </w:rPr>
        <w:t>El proceso de evaluación se realizó conforme a lo establecido en el Programa Anual de Evaluación para el Ejercicio Fiscal 201</w:t>
      </w:r>
      <w:r>
        <w:rPr>
          <w:rFonts w:asciiTheme="minorHAnsi" w:hAnsiTheme="minorHAnsi"/>
          <w:bCs/>
          <w:sz w:val="24"/>
          <w:szCs w:val="24"/>
          <w:lang w:val="es-ES"/>
        </w:rPr>
        <w:t>9</w:t>
      </w:r>
      <w:r w:rsidRPr="00930172">
        <w:rPr>
          <w:rFonts w:asciiTheme="minorHAnsi" w:hAnsiTheme="minorHAnsi"/>
          <w:bCs/>
          <w:sz w:val="24"/>
          <w:szCs w:val="24"/>
          <w:lang w:val="es-ES"/>
        </w:rPr>
        <w:t xml:space="preserve"> de los Programas Federales de la Administración Pública Federal y de los Fondos de Aportaciones Federales (PAE 201</w:t>
      </w:r>
      <w:r>
        <w:rPr>
          <w:rFonts w:asciiTheme="minorHAnsi" w:hAnsiTheme="minorHAnsi"/>
          <w:bCs/>
          <w:sz w:val="24"/>
          <w:szCs w:val="24"/>
          <w:lang w:val="es-ES"/>
        </w:rPr>
        <w:t>9</w:t>
      </w:r>
      <w:r w:rsidRPr="00930172">
        <w:rPr>
          <w:rFonts w:asciiTheme="minorHAnsi" w:hAnsiTheme="minorHAnsi"/>
          <w:bCs/>
          <w:sz w:val="24"/>
          <w:szCs w:val="24"/>
          <w:lang w:val="es-ES"/>
        </w:rPr>
        <w:t>) y los TdR emitidos para tal efecto, a través de reuniones de seguimiento, oficios, comunicación por medio de correo electrónico, entre otras, que favorecieron la comunicación y coordinación entre el Área de Evaluación (AE) y la Unidad Responsable; quienes en todo momento tuvieron la disposición para atender los requerimientos realizados por el evaluador externo para contar con la información necesaria para el desarrollo de la misma.</w:t>
      </w:r>
    </w:p>
    <w:p w14:paraId="79858163" w14:textId="13CEE9AF" w:rsidR="00EE0924" w:rsidRPr="00930172" w:rsidRDefault="00EE0924" w:rsidP="00D03957">
      <w:pPr>
        <w:pStyle w:val="Prrafodelista"/>
        <w:spacing w:line="240" w:lineRule="auto"/>
        <w:ind w:right="-141"/>
        <w:jc w:val="both"/>
        <w:rPr>
          <w:rFonts w:asciiTheme="minorHAnsi" w:hAnsiTheme="minorHAnsi"/>
          <w:bCs/>
          <w:sz w:val="24"/>
          <w:szCs w:val="24"/>
          <w:lang w:val="es-ES"/>
        </w:rPr>
      </w:pPr>
    </w:p>
    <w:p w14:paraId="16ABAC47" w14:textId="6264BB17" w:rsidR="003578C1" w:rsidRPr="00930172" w:rsidRDefault="003578C1" w:rsidP="00930172">
      <w:pPr>
        <w:spacing w:line="240" w:lineRule="auto"/>
        <w:ind w:right="-141"/>
        <w:jc w:val="both"/>
        <w:rPr>
          <w:rFonts w:asciiTheme="minorHAnsi" w:hAnsiTheme="minorHAnsi"/>
          <w:b/>
          <w:bCs/>
          <w:sz w:val="24"/>
          <w:szCs w:val="24"/>
        </w:rPr>
      </w:pPr>
      <w:r w:rsidRPr="00930172">
        <w:rPr>
          <w:rFonts w:asciiTheme="minorHAnsi" w:hAnsiTheme="minorHAnsi"/>
          <w:b/>
          <w:bCs/>
          <w:sz w:val="24"/>
          <w:szCs w:val="24"/>
        </w:rPr>
        <w:t>3.3 Sobre el desempeño del equipo evaluador</w:t>
      </w:r>
    </w:p>
    <w:p w14:paraId="485DAF69" w14:textId="77777777" w:rsidR="00D03957" w:rsidRPr="00930172" w:rsidRDefault="00D03957" w:rsidP="00D03957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930172">
        <w:rPr>
          <w:rFonts w:asciiTheme="minorHAnsi" w:hAnsiTheme="minorHAnsi"/>
          <w:sz w:val="24"/>
          <w:szCs w:val="24"/>
          <w:lang w:val="es-ES"/>
        </w:rPr>
        <w:t>El evaluador externo muestra objetividad e imparcialidad en el desarrollo de la Evaluación, toda vez que se apegó a lo establecido en los TdR aplicables.</w:t>
      </w:r>
    </w:p>
    <w:p w14:paraId="59E5D700" w14:textId="03E78FCE" w:rsidR="00EE0924" w:rsidRPr="00930172" w:rsidRDefault="00EE0924" w:rsidP="00D03957">
      <w:pPr>
        <w:pStyle w:val="Prrafodelista"/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61760519" w14:textId="77777777" w:rsidR="00EE0924" w:rsidRPr="00930172" w:rsidRDefault="00EE0924" w:rsidP="00930172">
      <w:p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3B6FFF06" w14:textId="77777777" w:rsidR="00E474E8" w:rsidRPr="00930172" w:rsidRDefault="00E474E8" w:rsidP="00930172">
      <w:pPr>
        <w:spacing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sectPr w:rsidR="00E474E8" w:rsidRPr="00930172" w:rsidSect="002B45DE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FB78" w14:textId="77777777" w:rsidR="006753C5" w:rsidRDefault="006753C5" w:rsidP="008E5209">
      <w:pPr>
        <w:spacing w:after="0" w:line="240" w:lineRule="auto"/>
      </w:pPr>
      <w:r>
        <w:separator/>
      </w:r>
    </w:p>
  </w:endnote>
  <w:endnote w:type="continuationSeparator" w:id="0">
    <w:p w14:paraId="6414879B" w14:textId="77777777" w:rsidR="006753C5" w:rsidRDefault="006753C5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AD95" w14:textId="77777777" w:rsidR="006753C5" w:rsidRDefault="006753C5" w:rsidP="008E5209">
      <w:pPr>
        <w:spacing w:after="0" w:line="240" w:lineRule="auto"/>
      </w:pPr>
      <w:r>
        <w:separator/>
      </w:r>
    </w:p>
  </w:footnote>
  <w:footnote w:type="continuationSeparator" w:id="0">
    <w:p w14:paraId="4C8EB4D1" w14:textId="77777777" w:rsidR="006753C5" w:rsidRDefault="006753C5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F466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7B2F07" wp14:editId="03C7DB44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F555B" w14:textId="77777777" w:rsidR="00DF12BB" w:rsidRDefault="00DF12BB" w:rsidP="00DF12BB"/>
                        <w:p w14:paraId="586A7054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2F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63AF555B" w14:textId="77777777" w:rsidR="00DF12BB" w:rsidRDefault="00DF12BB" w:rsidP="00DF12BB"/>
                  <w:p w14:paraId="586A7054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6672" behindDoc="1" locked="0" layoutInCell="1" allowOverlap="1" wp14:anchorId="25336A44" wp14:editId="40806CC6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05ACE4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01C69DBE" w14:textId="77777777" w:rsidR="00DF12BB" w:rsidRDefault="00DF12BB" w:rsidP="00DF12BB">
    <w:pPr>
      <w:pStyle w:val="Encabezado"/>
    </w:pPr>
  </w:p>
  <w:p w14:paraId="3B9E3FB1" w14:textId="77777777" w:rsidR="00DF12BB" w:rsidRDefault="00DF12BB" w:rsidP="00DF12BB">
    <w:pPr>
      <w:pStyle w:val="Encabezado"/>
    </w:pPr>
  </w:p>
  <w:p w14:paraId="52B6C727" w14:textId="4902F72A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11D0D17D" w14:textId="77777777" w:rsidR="002B45DE" w:rsidRDefault="002B45DE" w:rsidP="002B45DE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768D5AF8" w14:textId="0EC356F8" w:rsidR="00213BFA" w:rsidRPr="00DF12BB" w:rsidRDefault="00213BFA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15FB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D9B901" wp14:editId="509B235E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ED590" w14:textId="77777777" w:rsidR="0086126F" w:rsidRDefault="0086126F" w:rsidP="00C759BF"/>
                        <w:p w14:paraId="0183D2FA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9B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4CEED590" w14:textId="77777777" w:rsidR="0086126F" w:rsidRDefault="0086126F" w:rsidP="00C759BF"/>
                  <w:p w14:paraId="0183D2FA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6AA8BC57" wp14:editId="664E44B9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6FE6CC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74F5E4D1" w14:textId="77777777" w:rsidR="0086126F" w:rsidRDefault="0086126F">
    <w:pPr>
      <w:pStyle w:val="Encabezado"/>
    </w:pPr>
  </w:p>
  <w:p w14:paraId="1858156C" w14:textId="77777777" w:rsidR="0086126F" w:rsidRDefault="0086126F">
    <w:pPr>
      <w:pStyle w:val="Encabezado"/>
    </w:pPr>
  </w:p>
  <w:p w14:paraId="4768E507" w14:textId="0A6CF9D0" w:rsidR="0086126F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  <w:r>
      <w:rPr>
        <w:rFonts w:ascii="Montserrat Light" w:hAnsi="Montserrat Light" w:cs="Arial"/>
        <w:b/>
        <w:color w:val="861D31"/>
        <w:sz w:val="28"/>
      </w:rPr>
      <w:t>Documento de posición institucional</w:t>
    </w:r>
  </w:p>
  <w:p w14:paraId="638A5505" w14:textId="3032BC96" w:rsidR="00C17101" w:rsidRDefault="00C17101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  <w:p w14:paraId="25798D14" w14:textId="77777777" w:rsidR="00E12CA5" w:rsidRPr="0086126F" w:rsidRDefault="00E12CA5" w:rsidP="00213BFA">
    <w:pPr>
      <w:spacing w:after="0"/>
      <w:ind w:left="709" w:firstLine="709"/>
      <w:jc w:val="right"/>
      <w:rPr>
        <w:rFonts w:ascii="Montserrat Light" w:hAnsi="Montserrat Light" w:cs="Arial"/>
        <w:b/>
        <w:color w:val="861D3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C4E"/>
    <w:multiLevelType w:val="hybridMultilevel"/>
    <w:tmpl w:val="0A5A6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13D"/>
    <w:multiLevelType w:val="hybridMultilevel"/>
    <w:tmpl w:val="6F08DE0C"/>
    <w:lvl w:ilvl="0" w:tplc="959607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5CD"/>
    <w:multiLevelType w:val="hybridMultilevel"/>
    <w:tmpl w:val="B0D20AEE"/>
    <w:lvl w:ilvl="0" w:tplc="49444308">
      <w:start w:val="7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4E9"/>
    <w:multiLevelType w:val="hybridMultilevel"/>
    <w:tmpl w:val="403816EA"/>
    <w:lvl w:ilvl="0" w:tplc="5AB0A7A0">
      <w:start w:val="2"/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F10E83"/>
    <w:multiLevelType w:val="hybridMultilevel"/>
    <w:tmpl w:val="7012CD5A"/>
    <w:lvl w:ilvl="0" w:tplc="4BBE3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E4A4C"/>
    <w:multiLevelType w:val="hybridMultilevel"/>
    <w:tmpl w:val="234EE7B2"/>
    <w:lvl w:ilvl="0" w:tplc="080A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276C16"/>
    <w:multiLevelType w:val="hybridMultilevel"/>
    <w:tmpl w:val="C8F633FC"/>
    <w:lvl w:ilvl="0" w:tplc="AA8C33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8B6524C"/>
    <w:multiLevelType w:val="hybridMultilevel"/>
    <w:tmpl w:val="595E0158"/>
    <w:lvl w:ilvl="0" w:tplc="31947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1F28D9"/>
    <w:multiLevelType w:val="hybridMultilevel"/>
    <w:tmpl w:val="8FF8A2E8"/>
    <w:lvl w:ilvl="0" w:tplc="84649956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333"/>
    <w:multiLevelType w:val="multilevel"/>
    <w:tmpl w:val="2A06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D13E4A"/>
    <w:multiLevelType w:val="hybridMultilevel"/>
    <w:tmpl w:val="D856DCE6"/>
    <w:lvl w:ilvl="0" w:tplc="A3CA052E">
      <w:start w:val="3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3D8B"/>
    <w:multiLevelType w:val="hybridMultilevel"/>
    <w:tmpl w:val="7D1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715F1"/>
    <w:multiLevelType w:val="hybridMultilevel"/>
    <w:tmpl w:val="193C59BA"/>
    <w:lvl w:ilvl="0" w:tplc="2108BC4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279CA"/>
    <w:multiLevelType w:val="multilevel"/>
    <w:tmpl w:val="BC1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3F0F9F"/>
    <w:multiLevelType w:val="hybridMultilevel"/>
    <w:tmpl w:val="E5BA9486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297BA0"/>
    <w:multiLevelType w:val="multilevel"/>
    <w:tmpl w:val="856C2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4F38E1"/>
    <w:multiLevelType w:val="hybridMultilevel"/>
    <w:tmpl w:val="4968A7C6"/>
    <w:lvl w:ilvl="0" w:tplc="14602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26B16"/>
    <w:multiLevelType w:val="hybridMultilevel"/>
    <w:tmpl w:val="457048BC"/>
    <w:lvl w:ilvl="0" w:tplc="6E9AA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C32B0"/>
    <w:multiLevelType w:val="hybridMultilevel"/>
    <w:tmpl w:val="8582623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9153BA"/>
    <w:multiLevelType w:val="hybridMultilevel"/>
    <w:tmpl w:val="9D041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91DE4"/>
    <w:multiLevelType w:val="hybridMultilevel"/>
    <w:tmpl w:val="F71483E0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6E56919"/>
    <w:multiLevelType w:val="hybridMultilevel"/>
    <w:tmpl w:val="6ACED8B4"/>
    <w:lvl w:ilvl="0" w:tplc="4C70BF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65860"/>
    <w:multiLevelType w:val="hybridMultilevel"/>
    <w:tmpl w:val="083A0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C7CA7"/>
    <w:multiLevelType w:val="hybridMultilevel"/>
    <w:tmpl w:val="613A5D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C4E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6798F"/>
    <w:multiLevelType w:val="multilevel"/>
    <w:tmpl w:val="952E9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6F226C9"/>
    <w:multiLevelType w:val="hybridMultilevel"/>
    <w:tmpl w:val="D08C4AD0"/>
    <w:lvl w:ilvl="0" w:tplc="BB7C25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3340B"/>
    <w:multiLevelType w:val="hybridMultilevel"/>
    <w:tmpl w:val="A5A422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B33B3"/>
    <w:multiLevelType w:val="multilevel"/>
    <w:tmpl w:val="B18CF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177B09"/>
    <w:multiLevelType w:val="hybridMultilevel"/>
    <w:tmpl w:val="9EE4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435BC"/>
    <w:multiLevelType w:val="hybridMultilevel"/>
    <w:tmpl w:val="E2D0C828"/>
    <w:lvl w:ilvl="0" w:tplc="035AFE3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7A41B0"/>
    <w:multiLevelType w:val="hybridMultilevel"/>
    <w:tmpl w:val="744A9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8171D"/>
    <w:multiLevelType w:val="hybridMultilevel"/>
    <w:tmpl w:val="4DE26EE4"/>
    <w:lvl w:ilvl="0" w:tplc="ADA064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B73403"/>
    <w:multiLevelType w:val="multilevel"/>
    <w:tmpl w:val="F72AA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922C86"/>
    <w:multiLevelType w:val="hybridMultilevel"/>
    <w:tmpl w:val="B4B662B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FC31A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DD783F"/>
    <w:multiLevelType w:val="hybridMultilevel"/>
    <w:tmpl w:val="0A4AF5C8"/>
    <w:lvl w:ilvl="0" w:tplc="69EA92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427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2B4325"/>
    <w:multiLevelType w:val="hybridMultilevel"/>
    <w:tmpl w:val="2A7A0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D57D1"/>
    <w:multiLevelType w:val="hybridMultilevel"/>
    <w:tmpl w:val="594063B8"/>
    <w:lvl w:ilvl="0" w:tplc="670EDC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D292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3A4B3F"/>
    <w:multiLevelType w:val="hybridMultilevel"/>
    <w:tmpl w:val="062E60CE"/>
    <w:lvl w:ilvl="0" w:tplc="54408794">
      <w:start w:val="6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B4FC9"/>
    <w:multiLevelType w:val="hybridMultilevel"/>
    <w:tmpl w:val="193EA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162A2"/>
    <w:multiLevelType w:val="hybridMultilevel"/>
    <w:tmpl w:val="9BBE73A8"/>
    <w:lvl w:ilvl="0" w:tplc="199E1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E92820"/>
    <w:multiLevelType w:val="hybridMultilevel"/>
    <w:tmpl w:val="0FE2D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95F3D"/>
    <w:multiLevelType w:val="hybridMultilevel"/>
    <w:tmpl w:val="09FA3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164E3"/>
    <w:multiLevelType w:val="hybridMultilevel"/>
    <w:tmpl w:val="3A66B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9215A"/>
    <w:multiLevelType w:val="hybridMultilevel"/>
    <w:tmpl w:val="A0D8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93327"/>
    <w:multiLevelType w:val="hybridMultilevel"/>
    <w:tmpl w:val="3CD042F8"/>
    <w:lvl w:ilvl="0" w:tplc="5A8296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04271"/>
    <w:multiLevelType w:val="multilevel"/>
    <w:tmpl w:val="502AC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891035"/>
    <w:multiLevelType w:val="hybridMultilevel"/>
    <w:tmpl w:val="84FEADF4"/>
    <w:lvl w:ilvl="0" w:tplc="7638A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20"/>
  </w:num>
  <w:num w:numId="6">
    <w:abstractNumId w:val="4"/>
  </w:num>
  <w:num w:numId="7">
    <w:abstractNumId w:val="49"/>
  </w:num>
  <w:num w:numId="8">
    <w:abstractNumId w:val="38"/>
  </w:num>
  <w:num w:numId="9">
    <w:abstractNumId w:val="31"/>
  </w:num>
  <w:num w:numId="10">
    <w:abstractNumId w:val="21"/>
  </w:num>
  <w:num w:numId="11">
    <w:abstractNumId w:val="8"/>
  </w:num>
  <w:num w:numId="12">
    <w:abstractNumId w:val="14"/>
  </w:num>
  <w:num w:numId="13">
    <w:abstractNumId w:val="23"/>
  </w:num>
  <w:num w:numId="14">
    <w:abstractNumId w:val="40"/>
  </w:num>
  <w:num w:numId="15">
    <w:abstractNumId w:val="6"/>
  </w:num>
  <w:num w:numId="16">
    <w:abstractNumId w:val="1"/>
  </w:num>
  <w:num w:numId="17">
    <w:abstractNumId w:val="47"/>
  </w:num>
  <w:num w:numId="18">
    <w:abstractNumId w:val="42"/>
  </w:num>
  <w:num w:numId="19">
    <w:abstractNumId w:val="2"/>
  </w:num>
  <w:num w:numId="20">
    <w:abstractNumId w:val="29"/>
  </w:num>
  <w:num w:numId="21">
    <w:abstractNumId w:val="10"/>
  </w:num>
  <w:num w:numId="22">
    <w:abstractNumId w:val="17"/>
  </w:num>
  <w:num w:numId="23">
    <w:abstractNumId w:val="0"/>
  </w:num>
  <w:num w:numId="24">
    <w:abstractNumId w:val="34"/>
  </w:num>
  <w:num w:numId="25">
    <w:abstractNumId w:val="39"/>
  </w:num>
  <w:num w:numId="26">
    <w:abstractNumId w:val="3"/>
  </w:num>
  <w:num w:numId="27">
    <w:abstractNumId w:val="12"/>
  </w:num>
  <w:num w:numId="28">
    <w:abstractNumId w:val="36"/>
  </w:num>
  <w:num w:numId="29">
    <w:abstractNumId w:val="27"/>
  </w:num>
  <w:num w:numId="30">
    <w:abstractNumId w:val="48"/>
  </w:num>
  <w:num w:numId="31">
    <w:abstractNumId w:val="9"/>
  </w:num>
  <w:num w:numId="32">
    <w:abstractNumId w:val="13"/>
  </w:num>
  <w:num w:numId="33">
    <w:abstractNumId w:val="24"/>
  </w:num>
  <w:num w:numId="34">
    <w:abstractNumId w:val="15"/>
  </w:num>
  <w:num w:numId="35">
    <w:abstractNumId w:val="32"/>
  </w:num>
  <w:num w:numId="36">
    <w:abstractNumId w:val="19"/>
  </w:num>
  <w:num w:numId="37">
    <w:abstractNumId w:val="41"/>
  </w:num>
  <w:num w:numId="38">
    <w:abstractNumId w:val="37"/>
  </w:num>
  <w:num w:numId="39">
    <w:abstractNumId w:val="44"/>
  </w:num>
  <w:num w:numId="40">
    <w:abstractNumId w:val="11"/>
  </w:num>
  <w:num w:numId="41">
    <w:abstractNumId w:val="26"/>
  </w:num>
  <w:num w:numId="42">
    <w:abstractNumId w:val="35"/>
  </w:num>
  <w:num w:numId="43">
    <w:abstractNumId w:val="25"/>
  </w:num>
  <w:num w:numId="44">
    <w:abstractNumId w:val="46"/>
  </w:num>
  <w:num w:numId="45">
    <w:abstractNumId w:val="33"/>
  </w:num>
  <w:num w:numId="46">
    <w:abstractNumId w:val="5"/>
  </w:num>
  <w:num w:numId="47">
    <w:abstractNumId w:val="45"/>
  </w:num>
  <w:num w:numId="48">
    <w:abstractNumId w:val="28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2141"/>
    <w:rsid w:val="00076C94"/>
    <w:rsid w:val="00080258"/>
    <w:rsid w:val="00083A07"/>
    <w:rsid w:val="00084948"/>
    <w:rsid w:val="00091285"/>
    <w:rsid w:val="000935A4"/>
    <w:rsid w:val="000A0543"/>
    <w:rsid w:val="000A1D0D"/>
    <w:rsid w:val="000A4397"/>
    <w:rsid w:val="000B745B"/>
    <w:rsid w:val="000C5759"/>
    <w:rsid w:val="000C7555"/>
    <w:rsid w:val="000C7DB8"/>
    <w:rsid w:val="000D764C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3A0"/>
    <w:rsid w:val="0019373C"/>
    <w:rsid w:val="001A0E6E"/>
    <w:rsid w:val="001B0AC5"/>
    <w:rsid w:val="001C5275"/>
    <w:rsid w:val="001C6638"/>
    <w:rsid w:val="001C71F7"/>
    <w:rsid w:val="001D187A"/>
    <w:rsid w:val="001E5983"/>
    <w:rsid w:val="001E66BD"/>
    <w:rsid w:val="001F0D23"/>
    <w:rsid w:val="001F2C2A"/>
    <w:rsid w:val="001F6318"/>
    <w:rsid w:val="0020020C"/>
    <w:rsid w:val="0020155A"/>
    <w:rsid w:val="002030DF"/>
    <w:rsid w:val="002051F1"/>
    <w:rsid w:val="00213BFA"/>
    <w:rsid w:val="00214062"/>
    <w:rsid w:val="00222217"/>
    <w:rsid w:val="00230930"/>
    <w:rsid w:val="002312DF"/>
    <w:rsid w:val="00233D0F"/>
    <w:rsid w:val="002356D5"/>
    <w:rsid w:val="0023762C"/>
    <w:rsid w:val="002422A9"/>
    <w:rsid w:val="00256B08"/>
    <w:rsid w:val="00263C83"/>
    <w:rsid w:val="00264327"/>
    <w:rsid w:val="0026692D"/>
    <w:rsid w:val="002801B9"/>
    <w:rsid w:val="00281DFC"/>
    <w:rsid w:val="002903FB"/>
    <w:rsid w:val="00296056"/>
    <w:rsid w:val="002A29EE"/>
    <w:rsid w:val="002A318E"/>
    <w:rsid w:val="002B2C96"/>
    <w:rsid w:val="002B45DE"/>
    <w:rsid w:val="002C0D33"/>
    <w:rsid w:val="002D1AFC"/>
    <w:rsid w:val="002D3EA7"/>
    <w:rsid w:val="002D457E"/>
    <w:rsid w:val="002E1A84"/>
    <w:rsid w:val="002E2A68"/>
    <w:rsid w:val="002E4405"/>
    <w:rsid w:val="002E6DAC"/>
    <w:rsid w:val="002F378E"/>
    <w:rsid w:val="00316A9C"/>
    <w:rsid w:val="00316C41"/>
    <w:rsid w:val="00323621"/>
    <w:rsid w:val="00325565"/>
    <w:rsid w:val="003270DD"/>
    <w:rsid w:val="00331966"/>
    <w:rsid w:val="00332B71"/>
    <w:rsid w:val="00332B81"/>
    <w:rsid w:val="003414E8"/>
    <w:rsid w:val="00342BB1"/>
    <w:rsid w:val="00345DBF"/>
    <w:rsid w:val="00351B94"/>
    <w:rsid w:val="0035745F"/>
    <w:rsid w:val="003578C1"/>
    <w:rsid w:val="003671EF"/>
    <w:rsid w:val="00375FD1"/>
    <w:rsid w:val="003800F3"/>
    <w:rsid w:val="003867E1"/>
    <w:rsid w:val="003954C6"/>
    <w:rsid w:val="003964B5"/>
    <w:rsid w:val="003C3463"/>
    <w:rsid w:val="003C5B02"/>
    <w:rsid w:val="003E326B"/>
    <w:rsid w:val="003E4BAA"/>
    <w:rsid w:val="003E6E57"/>
    <w:rsid w:val="003F09A1"/>
    <w:rsid w:val="003F0AF3"/>
    <w:rsid w:val="003F315D"/>
    <w:rsid w:val="003F5FE3"/>
    <w:rsid w:val="00413C04"/>
    <w:rsid w:val="0041452B"/>
    <w:rsid w:val="00416CC1"/>
    <w:rsid w:val="00425911"/>
    <w:rsid w:val="00431E65"/>
    <w:rsid w:val="004327A3"/>
    <w:rsid w:val="004338DA"/>
    <w:rsid w:val="0044695A"/>
    <w:rsid w:val="004620A0"/>
    <w:rsid w:val="0047656A"/>
    <w:rsid w:val="00480476"/>
    <w:rsid w:val="0049271E"/>
    <w:rsid w:val="00495144"/>
    <w:rsid w:val="004A055F"/>
    <w:rsid w:val="004A30A1"/>
    <w:rsid w:val="004C10D1"/>
    <w:rsid w:val="004C1175"/>
    <w:rsid w:val="004C1F58"/>
    <w:rsid w:val="004C36DB"/>
    <w:rsid w:val="004D131A"/>
    <w:rsid w:val="004D31EC"/>
    <w:rsid w:val="004E5966"/>
    <w:rsid w:val="004F1261"/>
    <w:rsid w:val="0050641D"/>
    <w:rsid w:val="00510CF9"/>
    <w:rsid w:val="00531BE3"/>
    <w:rsid w:val="00531C3D"/>
    <w:rsid w:val="005369D7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47E6"/>
    <w:rsid w:val="005E44FA"/>
    <w:rsid w:val="005F33CC"/>
    <w:rsid w:val="005F575E"/>
    <w:rsid w:val="00601986"/>
    <w:rsid w:val="00602B50"/>
    <w:rsid w:val="00603771"/>
    <w:rsid w:val="006123C0"/>
    <w:rsid w:val="0062578D"/>
    <w:rsid w:val="00630891"/>
    <w:rsid w:val="0065144E"/>
    <w:rsid w:val="0065719B"/>
    <w:rsid w:val="00666BE5"/>
    <w:rsid w:val="00671A91"/>
    <w:rsid w:val="006753C5"/>
    <w:rsid w:val="0068293A"/>
    <w:rsid w:val="00690BCC"/>
    <w:rsid w:val="0069467B"/>
    <w:rsid w:val="006A18AF"/>
    <w:rsid w:val="006A3D81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0D4"/>
    <w:rsid w:val="00745E86"/>
    <w:rsid w:val="007513D2"/>
    <w:rsid w:val="007541F8"/>
    <w:rsid w:val="007610AB"/>
    <w:rsid w:val="00782C22"/>
    <w:rsid w:val="00784BFB"/>
    <w:rsid w:val="007862E9"/>
    <w:rsid w:val="007967D9"/>
    <w:rsid w:val="007A0C17"/>
    <w:rsid w:val="007A0D4E"/>
    <w:rsid w:val="007A73AA"/>
    <w:rsid w:val="007A782D"/>
    <w:rsid w:val="007B4768"/>
    <w:rsid w:val="007C73EB"/>
    <w:rsid w:val="007D19D3"/>
    <w:rsid w:val="007D4353"/>
    <w:rsid w:val="007D7081"/>
    <w:rsid w:val="007E4A2A"/>
    <w:rsid w:val="007E5374"/>
    <w:rsid w:val="007E6949"/>
    <w:rsid w:val="00801AE3"/>
    <w:rsid w:val="00803598"/>
    <w:rsid w:val="00812734"/>
    <w:rsid w:val="00822FE3"/>
    <w:rsid w:val="00827FA5"/>
    <w:rsid w:val="0083482F"/>
    <w:rsid w:val="008405A6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905B0"/>
    <w:rsid w:val="00890761"/>
    <w:rsid w:val="008A0BCB"/>
    <w:rsid w:val="008A0CB2"/>
    <w:rsid w:val="008D08A8"/>
    <w:rsid w:val="008D2433"/>
    <w:rsid w:val="008E3483"/>
    <w:rsid w:val="008E5209"/>
    <w:rsid w:val="008F0494"/>
    <w:rsid w:val="008F1D6E"/>
    <w:rsid w:val="0091170D"/>
    <w:rsid w:val="009160E1"/>
    <w:rsid w:val="0092465C"/>
    <w:rsid w:val="009263AC"/>
    <w:rsid w:val="00930172"/>
    <w:rsid w:val="00934890"/>
    <w:rsid w:val="009352D5"/>
    <w:rsid w:val="00950021"/>
    <w:rsid w:val="0096110F"/>
    <w:rsid w:val="009768FB"/>
    <w:rsid w:val="00983315"/>
    <w:rsid w:val="009A182A"/>
    <w:rsid w:val="009A3BA4"/>
    <w:rsid w:val="009B3B2B"/>
    <w:rsid w:val="009B5E2C"/>
    <w:rsid w:val="009B795A"/>
    <w:rsid w:val="009C2A50"/>
    <w:rsid w:val="009C6FE2"/>
    <w:rsid w:val="009D58D9"/>
    <w:rsid w:val="009D7FB9"/>
    <w:rsid w:val="009E7DF9"/>
    <w:rsid w:val="009F12A7"/>
    <w:rsid w:val="009F20AE"/>
    <w:rsid w:val="009F257D"/>
    <w:rsid w:val="00A0130B"/>
    <w:rsid w:val="00A06B19"/>
    <w:rsid w:val="00A06C49"/>
    <w:rsid w:val="00A12B2E"/>
    <w:rsid w:val="00A16C5A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A45DE"/>
    <w:rsid w:val="00AA520E"/>
    <w:rsid w:val="00AB5C90"/>
    <w:rsid w:val="00AC54AF"/>
    <w:rsid w:val="00AC620E"/>
    <w:rsid w:val="00AD0ADD"/>
    <w:rsid w:val="00AE0BD1"/>
    <w:rsid w:val="00AE4E69"/>
    <w:rsid w:val="00AE5C01"/>
    <w:rsid w:val="00B10612"/>
    <w:rsid w:val="00B20F0E"/>
    <w:rsid w:val="00B22ADF"/>
    <w:rsid w:val="00B24DE7"/>
    <w:rsid w:val="00B3544D"/>
    <w:rsid w:val="00B35EB8"/>
    <w:rsid w:val="00B435F5"/>
    <w:rsid w:val="00B5124C"/>
    <w:rsid w:val="00B51B31"/>
    <w:rsid w:val="00B614DF"/>
    <w:rsid w:val="00B71DBF"/>
    <w:rsid w:val="00BA1B67"/>
    <w:rsid w:val="00BA222E"/>
    <w:rsid w:val="00BA4A59"/>
    <w:rsid w:val="00BA5D2B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D88"/>
    <w:rsid w:val="00BF1F13"/>
    <w:rsid w:val="00BF25EA"/>
    <w:rsid w:val="00BF698D"/>
    <w:rsid w:val="00C04B92"/>
    <w:rsid w:val="00C10020"/>
    <w:rsid w:val="00C103A7"/>
    <w:rsid w:val="00C17070"/>
    <w:rsid w:val="00C17101"/>
    <w:rsid w:val="00C2107C"/>
    <w:rsid w:val="00C30726"/>
    <w:rsid w:val="00C4579A"/>
    <w:rsid w:val="00C54827"/>
    <w:rsid w:val="00C549F2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6CF8"/>
    <w:rsid w:val="00CC06EA"/>
    <w:rsid w:val="00CC489F"/>
    <w:rsid w:val="00CD34D2"/>
    <w:rsid w:val="00CF511B"/>
    <w:rsid w:val="00CF57AE"/>
    <w:rsid w:val="00D03957"/>
    <w:rsid w:val="00D10D79"/>
    <w:rsid w:val="00D1436F"/>
    <w:rsid w:val="00D15AF3"/>
    <w:rsid w:val="00D16047"/>
    <w:rsid w:val="00D2217D"/>
    <w:rsid w:val="00D24595"/>
    <w:rsid w:val="00D25EA5"/>
    <w:rsid w:val="00D31A79"/>
    <w:rsid w:val="00D33ED2"/>
    <w:rsid w:val="00D54A9B"/>
    <w:rsid w:val="00D557F6"/>
    <w:rsid w:val="00D617BA"/>
    <w:rsid w:val="00D63AE8"/>
    <w:rsid w:val="00D71101"/>
    <w:rsid w:val="00D77276"/>
    <w:rsid w:val="00D8309E"/>
    <w:rsid w:val="00D92DBC"/>
    <w:rsid w:val="00DA1D55"/>
    <w:rsid w:val="00DA69EA"/>
    <w:rsid w:val="00DA6B5F"/>
    <w:rsid w:val="00DA6D7B"/>
    <w:rsid w:val="00DB29CD"/>
    <w:rsid w:val="00DB38E0"/>
    <w:rsid w:val="00DB7D6F"/>
    <w:rsid w:val="00DD1B80"/>
    <w:rsid w:val="00DD2500"/>
    <w:rsid w:val="00DE333B"/>
    <w:rsid w:val="00DE3EC0"/>
    <w:rsid w:val="00DE6415"/>
    <w:rsid w:val="00DF0203"/>
    <w:rsid w:val="00DF12BB"/>
    <w:rsid w:val="00E0038A"/>
    <w:rsid w:val="00E01194"/>
    <w:rsid w:val="00E02A2F"/>
    <w:rsid w:val="00E055EA"/>
    <w:rsid w:val="00E107F2"/>
    <w:rsid w:val="00E1147B"/>
    <w:rsid w:val="00E12CA5"/>
    <w:rsid w:val="00E1388F"/>
    <w:rsid w:val="00E17565"/>
    <w:rsid w:val="00E236DA"/>
    <w:rsid w:val="00E474E8"/>
    <w:rsid w:val="00E4783D"/>
    <w:rsid w:val="00E529A2"/>
    <w:rsid w:val="00E55352"/>
    <w:rsid w:val="00E66462"/>
    <w:rsid w:val="00E85EDC"/>
    <w:rsid w:val="00E91A09"/>
    <w:rsid w:val="00E95051"/>
    <w:rsid w:val="00EA4287"/>
    <w:rsid w:val="00EB345E"/>
    <w:rsid w:val="00EB6C57"/>
    <w:rsid w:val="00EC21F6"/>
    <w:rsid w:val="00EC3814"/>
    <w:rsid w:val="00EC63B6"/>
    <w:rsid w:val="00ED0FAB"/>
    <w:rsid w:val="00ED2843"/>
    <w:rsid w:val="00EE0924"/>
    <w:rsid w:val="00EE32E3"/>
    <w:rsid w:val="00F0320D"/>
    <w:rsid w:val="00F16821"/>
    <w:rsid w:val="00F16885"/>
    <w:rsid w:val="00F24D1A"/>
    <w:rsid w:val="00F2576D"/>
    <w:rsid w:val="00F26D0B"/>
    <w:rsid w:val="00F33E30"/>
    <w:rsid w:val="00F36ECC"/>
    <w:rsid w:val="00F46C22"/>
    <w:rsid w:val="00F51A08"/>
    <w:rsid w:val="00F75E9D"/>
    <w:rsid w:val="00F77312"/>
    <w:rsid w:val="00F8367D"/>
    <w:rsid w:val="00F963E2"/>
    <w:rsid w:val="00FA1BB9"/>
    <w:rsid w:val="00FA7D41"/>
    <w:rsid w:val="00FB0820"/>
    <w:rsid w:val="00FB1BFB"/>
    <w:rsid w:val="00FB1F72"/>
    <w:rsid w:val="00FB204C"/>
    <w:rsid w:val="00FB4127"/>
    <w:rsid w:val="00FC30E6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BD291"/>
  <w15:docId w15:val="{A5DADAE1-C815-4861-97CD-2FFD4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5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5A4"/>
    <w:rPr>
      <w:color w:val="605E5C"/>
      <w:shd w:val="clear" w:color="auto" w:fill="E1DFDD"/>
    </w:rPr>
  </w:style>
  <w:style w:type="paragraph" w:customStyle="1" w:styleId="Cdetextonegrita">
    <w:name w:val="C. de texto negrita"/>
    <w:basedOn w:val="Normal"/>
    <w:qFormat/>
    <w:rsid w:val="00EE0924"/>
    <w:pPr>
      <w:spacing w:after="120" w:line="240" w:lineRule="auto"/>
      <w:jc w:val="both"/>
    </w:pPr>
    <w:rPr>
      <w:rFonts w:ascii="Soberana Sans" w:eastAsia="Times New Roman" w:hAnsi="Soberana Sans" w:cs="Arial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63EB-8F3A-41BC-AEB3-CD2565C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Office</cp:lastModifiedBy>
  <cp:revision>5</cp:revision>
  <cp:lastPrinted>2019-10-11T00:40:00Z</cp:lastPrinted>
  <dcterms:created xsi:type="dcterms:W3CDTF">2020-05-27T20:10:00Z</dcterms:created>
  <dcterms:modified xsi:type="dcterms:W3CDTF">2020-06-09T01:36:00Z</dcterms:modified>
</cp:coreProperties>
</file>