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3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2174"/>
        <w:gridCol w:w="292"/>
        <w:gridCol w:w="2309"/>
        <w:gridCol w:w="3130"/>
      </w:tblGrid>
      <w:tr w:rsidR="00690BCC" w:rsidRPr="00E1388F" w14:paraId="613549F2" w14:textId="77777777" w:rsidTr="006E0ADC">
        <w:trPr>
          <w:trHeight w:val="300"/>
          <w:tblCellSpacing w:w="20" w:type="dxa"/>
        </w:trPr>
        <w:tc>
          <w:tcPr>
            <w:tcW w:w="10323" w:type="dxa"/>
            <w:gridSpan w:val="5"/>
            <w:shd w:val="clear" w:color="000000" w:fill="8B1D31"/>
            <w:noWrap/>
            <w:vAlign w:val="bottom"/>
            <w:hideMark/>
          </w:tcPr>
          <w:p w14:paraId="4AA2C390" w14:textId="77777777" w:rsidR="00E1388F" w:rsidRPr="00E1388F" w:rsidRDefault="00E1388F" w:rsidP="00E1388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E1388F">
              <w:rPr>
                <w:rFonts w:eastAsia="Times New Roman"/>
                <w:b/>
                <w:bCs/>
                <w:color w:val="FFFFFF"/>
                <w:lang w:eastAsia="es-MX"/>
              </w:rPr>
              <w:t>1. Descripción de la Evaluación</w:t>
            </w:r>
          </w:p>
        </w:tc>
      </w:tr>
      <w:tr w:rsidR="00690BCC" w:rsidRPr="00E1388F" w14:paraId="69691C7F" w14:textId="77777777" w:rsidTr="006E0ADC">
        <w:trPr>
          <w:trHeight w:val="390"/>
          <w:tblCellSpacing w:w="20" w:type="dxa"/>
        </w:trPr>
        <w:tc>
          <w:tcPr>
            <w:tcW w:w="10323" w:type="dxa"/>
            <w:gridSpan w:val="5"/>
            <w:shd w:val="clear" w:color="000000" w:fill="FFFFFF"/>
            <w:noWrap/>
            <w:hideMark/>
          </w:tcPr>
          <w:p w14:paraId="5462B290" w14:textId="72576F7B" w:rsidR="00E1388F" w:rsidRPr="00F26D0B" w:rsidRDefault="00E1388F" w:rsidP="00FB4127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1.1 Nombre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B4127">
              <w:rPr>
                <w:rFonts w:cstheme="minorHAnsi"/>
              </w:rPr>
              <w:t>Evaluación del desempeño</w:t>
            </w:r>
          </w:p>
        </w:tc>
      </w:tr>
      <w:tr w:rsidR="00690BCC" w:rsidRPr="00E1388F" w14:paraId="743A4C27" w14:textId="77777777" w:rsidTr="006E0ADC">
        <w:trPr>
          <w:trHeight w:val="390"/>
          <w:tblCellSpacing w:w="20" w:type="dxa"/>
        </w:trPr>
        <w:tc>
          <w:tcPr>
            <w:tcW w:w="10323" w:type="dxa"/>
            <w:gridSpan w:val="5"/>
            <w:shd w:val="clear" w:color="000000" w:fill="FFFFFF"/>
            <w:noWrap/>
            <w:hideMark/>
          </w:tcPr>
          <w:p w14:paraId="00771A58" w14:textId="77777777" w:rsidR="00E1388F" w:rsidRPr="006005B6" w:rsidRDefault="00E1388F" w:rsidP="00FB4127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1.2 Fecha de Inicio de la Evaluación (dd/mm/aaaa):</w:t>
            </w:r>
            <w:r w:rsidR="00FA198F" w:rsidRPr="00FA198F">
              <w:rPr>
                <w:rFonts w:eastAsia="Times New Roman"/>
                <w:bCs/>
                <w:color w:val="000000"/>
                <w:lang w:eastAsia="es-MX"/>
              </w:rPr>
              <w:t>31/01/2020</w:t>
            </w:r>
          </w:p>
        </w:tc>
      </w:tr>
      <w:tr w:rsidR="00690BCC" w:rsidRPr="00E1388F" w14:paraId="38A98E7B" w14:textId="77777777" w:rsidTr="006E0ADC">
        <w:trPr>
          <w:trHeight w:val="390"/>
          <w:tblCellSpacing w:w="20" w:type="dxa"/>
        </w:trPr>
        <w:tc>
          <w:tcPr>
            <w:tcW w:w="10323" w:type="dxa"/>
            <w:gridSpan w:val="5"/>
            <w:shd w:val="clear" w:color="000000" w:fill="FFFFFF"/>
            <w:noWrap/>
            <w:hideMark/>
          </w:tcPr>
          <w:p w14:paraId="7B88581F" w14:textId="77777777" w:rsidR="00E1388F" w:rsidRPr="00F26D0B" w:rsidRDefault="00E1388F" w:rsidP="00FB4127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1.3 Fecha de Término de la Evaluación (dd/mm/aaaa):</w:t>
            </w:r>
            <w:r w:rsidR="006005B6">
              <w:rPr>
                <w:rFonts w:cstheme="minorHAnsi"/>
              </w:rPr>
              <w:t>29</w:t>
            </w:r>
            <w:r w:rsidR="00FB4127">
              <w:rPr>
                <w:rFonts w:cstheme="minorHAnsi"/>
              </w:rPr>
              <w:t>/</w:t>
            </w:r>
            <w:r w:rsidR="006005B6">
              <w:rPr>
                <w:rFonts w:cstheme="minorHAnsi"/>
              </w:rPr>
              <w:t>02</w:t>
            </w:r>
            <w:r w:rsidR="00FB4127">
              <w:rPr>
                <w:rFonts w:cstheme="minorHAnsi"/>
              </w:rPr>
              <w:t>/20</w:t>
            </w:r>
            <w:r w:rsidR="006005B6">
              <w:rPr>
                <w:rFonts w:cstheme="minorHAnsi"/>
              </w:rPr>
              <w:t>20</w:t>
            </w:r>
          </w:p>
        </w:tc>
      </w:tr>
      <w:tr w:rsidR="00690BCC" w:rsidRPr="00E1388F" w14:paraId="340B300C" w14:textId="77777777" w:rsidTr="006E0ADC">
        <w:trPr>
          <w:trHeight w:val="410"/>
          <w:tblCellSpacing w:w="20" w:type="dxa"/>
        </w:trPr>
        <w:tc>
          <w:tcPr>
            <w:tcW w:w="10323" w:type="dxa"/>
            <w:gridSpan w:val="5"/>
            <w:shd w:val="clear" w:color="auto" w:fill="D9D9D9" w:themeFill="background1" w:themeFillShade="D9"/>
            <w:hideMark/>
          </w:tcPr>
          <w:p w14:paraId="5BCBC9D7" w14:textId="1F5CAA49" w:rsidR="00E1388F" w:rsidRPr="000A0543" w:rsidRDefault="00E1388F" w:rsidP="000A0543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1.4 Nombre de la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 xml:space="preserve">ersona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r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>esponsable de darle seguimiento a la eva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>lu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>ación y nombre de la unidad a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 xml:space="preserve">dministrativa a la que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>ertenece:</w:t>
            </w:r>
          </w:p>
        </w:tc>
      </w:tr>
      <w:tr w:rsidR="000A0543" w:rsidRPr="00E1388F" w14:paraId="78C778B3" w14:textId="77777777" w:rsidTr="006E0ADC">
        <w:trPr>
          <w:trHeight w:val="405"/>
          <w:tblCellSpacing w:w="20" w:type="dxa"/>
        </w:trPr>
        <w:tc>
          <w:tcPr>
            <w:tcW w:w="4662" w:type="dxa"/>
            <w:gridSpan w:val="2"/>
            <w:shd w:val="clear" w:color="000000" w:fill="FFFFFF"/>
            <w:noWrap/>
            <w:hideMark/>
          </w:tcPr>
          <w:p w14:paraId="2C3F0843" w14:textId="77777777" w:rsidR="000A0543" w:rsidRPr="000A0543" w:rsidRDefault="000A0543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Nombre:</w:t>
            </w:r>
          </w:p>
          <w:p w14:paraId="092CCC42" w14:textId="61B6CF6F" w:rsidR="000A0543" w:rsidRPr="00E1388F" w:rsidRDefault="00533905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33905">
              <w:rPr>
                <w:rFonts w:eastAsia="Times New Roman"/>
                <w:color w:val="000000"/>
                <w:lang w:eastAsia="es-MX"/>
              </w:rPr>
              <w:t>José Luis Alvarado Medrano</w:t>
            </w:r>
          </w:p>
        </w:tc>
        <w:tc>
          <w:tcPr>
            <w:tcW w:w="5621" w:type="dxa"/>
            <w:gridSpan w:val="3"/>
            <w:shd w:val="clear" w:color="000000" w:fill="FFFFFF"/>
            <w:noWrap/>
            <w:hideMark/>
          </w:tcPr>
          <w:p w14:paraId="16A4B242" w14:textId="77777777" w:rsidR="000A0543" w:rsidRPr="000A0543" w:rsidRDefault="000A0543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Unidad Administrativa:</w:t>
            </w:r>
          </w:p>
          <w:p w14:paraId="47573CE2" w14:textId="38E38969" w:rsidR="000A0543" w:rsidRPr="00E1388F" w:rsidRDefault="00533905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33905">
              <w:rPr>
                <w:rFonts w:eastAsia="Times New Roman"/>
                <w:color w:val="000000"/>
                <w:lang w:eastAsia="es-MX"/>
              </w:rPr>
              <w:t>Instituto Sinaloense para la Educación de los Adultos (ISEA)</w:t>
            </w:r>
          </w:p>
        </w:tc>
      </w:tr>
      <w:tr w:rsidR="00690BCC" w:rsidRPr="00E1388F" w14:paraId="7F71067E" w14:textId="77777777" w:rsidTr="006E0ADC">
        <w:trPr>
          <w:trHeight w:val="495"/>
          <w:tblCellSpacing w:w="20" w:type="dxa"/>
        </w:trPr>
        <w:tc>
          <w:tcPr>
            <w:tcW w:w="10323" w:type="dxa"/>
            <w:gridSpan w:val="5"/>
            <w:shd w:val="clear" w:color="000000" w:fill="FFFFFF"/>
            <w:noWrap/>
            <w:hideMark/>
          </w:tcPr>
          <w:p w14:paraId="176E59A0" w14:textId="2DA9C15C" w:rsidR="00E1388F" w:rsidRPr="00BA4A59" w:rsidRDefault="00E1388F" w:rsidP="002272AA">
            <w:pPr>
              <w:spacing w:after="0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1.5 Objetivo General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B4127" w:rsidRPr="00FB4127">
              <w:rPr>
                <w:rFonts w:cstheme="minorHAnsi"/>
              </w:rPr>
              <w:t>Evaluar el desempeño del</w:t>
            </w:r>
            <w:r w:rsidR="00FA198F">
              <w:rPr>
                <w:rFonts w:cstheme="minorHAnsi"/>
              </w:rPr>
              <w:t xml:space="preserve"> programa </w:t>
            </w:r>
            <w:r w:rsidR="00464FDD" w:rsidRPr="00464FDD">
              <w:rPr>
                <w:rFonts w:cstheme="minorHAnsi"/>
              </w:rPr>
              <w:t>Servicios Descentralizados para la Educación de los Adultos</w:t>
            </w:r>
            <w:r w:rsidR="00FB4127" w:rsidRPr="00FB4127">
              <w:rPr>
                <w:rFonts w:cstheme="minorHAnsi"/>
              </w:rPr>
              <w:t xml:space="preserve"> del ejercicio fiscal 201</w:t>
            </w:r>
            <w:r w:rsidR="008D5CEB">
              <w:rPr>
                <w:rFonts w:cstheme="minorHAnsi"/>
              </w:rPr>
              <w:t>9</w:t>
            </w:r>
            <w:r w:rsidR="00FB4127" w:rsidRPr="00FB4127">
              <w:rPr>
                <w:rFonts w:cstheme="minorHAnsi"/>
              </w:rPr>
              <w:t xml:space="preserve">, con base en la información entregada por </w:t>
            </w:r>
            <w:r w:rsidR="008D5CEB">
              <w:rPr>
                <w:rFonts w:cstheme="minorHAnsi"/>
              </w:rPr>
              <w:t>el</w:t>
            </w:r>
            <w:r w:rsidR="00FB4127" w:rsidRPr="00FB4127">
              <w:rPr>
                <w:rFonts w:cstheme="minorHAnsi"/>
              </w:rPr>
              <w:t xml:space="preserve"> área responsable del programa, con una valoración de los resultados e impactos derivados del cumplimiento de las metas establecidas en </w:t>
            </w:r>
            <w:r w:rsidR="008D5CEB">
              <w:rPr>
                <w:rFonts w:cstheme="minorHAnsi"/>
              </w:rPr>
              <w:t>e</w:t>
            </w:r>
            <w:r w:rsidR="00FB4127" w:rsidRPr="00FB4127">
              <w:rPr>
                <w:rFonts w:cstheme="minorHAnsi"/>
              </w:rPr>
              <w:t xml:space="preserve">l </w:t>
            </w:r>
            <w:r w:rsidR="008D5CEB">
              <w:rPr>
                <w:rFonts w:cstheme="minorHAnsi"/>
              </w:rPr>
              <w:t>p</w:t>
            </w:r>
            <w:r w:rsidR="00FB4127" w:rsidRPr="00FB4127">
              <w:rPr>
                <w:rFonts w:cstheme="minorHAnsi"/>
              </w:rPr>
              <w:t>rograma.</w:t>
            </w:r>
          </w:p>
        </w:tc>
      </w:tr>
      <w:tr w:rsidR="00690BCC" w:rsidRPr="00E1388F" w14:paraId="0F74200F" w14:textId="77777777" w:rsidTr="006E0ADC">
        <w:trPr>
          <w:trHeight w:val="450"/>
          <w:tblCellSpacing w:w="20" w:type="dxa"/>
        </w:trPr>
        <w:tc>
          <w:tcPr>
            <w:tcW w:w="10323" w:type="dxa"/>
            <w:gridSpan w:val="5"/>
            <w:shd w:val="clear" w:color="000000" w:fill="FFFFFF"/>
            <w:noWrap/>
            <w:hideMark/>
          </w:tcPr>
          <w:p w14:paraId="2E1318E5" w14:textId="77777777" w:rsidR="00A631C2" w:rsidRPr="00A631C2" w:rsidRDefault="00E1388F" w:rsidP="00A631C2">
            <w:pPr>
              <w:spacing w:after="0"/>
              <w:rPr>
                <w:rFonts w:eastAsia="Times New Roman"/>
                <w:b/>
                <w:color w:val="000000"/>
                <w:lang w:eastAsia="es-MX"/>
              </w:rPr>
            </w:pPr>
            <w:r w:rsidRPr="00A631C2">
              <w:rPr>
                <w:rFonts w:eastAsia="Times New Roman"/>
                <w:b/>
                <w:color w:val="000000"/>
                <w:lang w:eastAsia="es-MX"/>
              </w:rPr>
              <w:t xml:space="preserve">1.6 Objetivos </w:t>
            </w:r>
            <w:r w:rsidR="00332B81" w:rsidRPr="00A631C2">
              <w:rPr>
                <w:rFonts w:eastAsia="Times New Roman"/>
                <w:b/>
                <w:color w:val="000000"/>
                <w:lang w:eastAsia="es-MX"/>
              </w:rPr>
              <w:t>Específic</w:t>
            </w:r>
            <w:r w:rsidR="00E74948">
              <w:rPr>
                <w:rFonts w:eastAsia="Times New Roman"/>
                <w:b/>
                <w:color w:val="000000"/>
                <w:lang w:eastAsia="es-MX"/>
              </w:rPr>
              <w:t>o</w:t>
            </w:r>
            <w:r w:rsidR="00332B81" w:rsidRPr="00A631C2">
              <w:rPr>
                <w:rFonts w:eastAsia="Times New Roman"/>
                <w:b/>
                <w:color w:val="000000"/>
                <w:lang w:eastAsia="es-MX"/>
              </w:rPr>
              <w:t>s</w:t>
            </w:r>
            <w:r w:rsidRPr="00A631C2">
              <w:rPr>
                <w:rFonts w:eastAsia="Times New Roman"/>
                <w:b/>
                <w:color w:val="000000"/>
                <w:lang w:eastAsia="es-MX"/>
              </w:rPr>
              <w:t xml:space="preserve"> de la Evaluación:</w:t>
            </w:r>
          </w:p>
          <w:p w14:paraId="2DAECC41" w14:textId="66B536BE" w:rsidR="00E32D71" w:rsidRPr="00A631C2" w:rsidRDefault="003954C6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631C2">
              <w:rPr>
                <w:rFonts w:eastAsia="Times New Roman"/>
                <w:color w:val="000000"/>
                <w:lang w:eastAsia="es-MX"/>
              </w:rPr>
              <w:t xml:space="preserve">Identificar </w:t>
            </w:r>
            <w:r w:rsidR="00E74948">
              <w:rPr>
                <w:rFonts w:eastAsia="Times New Roman"/>
                <w:color w:val="000000"/>
                <w:lang w:eastAsia="es-MX"/>
              </w:rPr>
              <w:t xml:space="preserve">como se ha contribuido a la </w:t>
            </w:r>
            <w:r w:rsidR="009C06EF">
              <w:rPr>
                <w:rFonts w:eastAsia="Times New Roman"/>
                <w:color w:val="000000"/>
                <w:lang w:eastAsia="es-MX"/>
              </w:rPr>
              <w:t xml:space="preserve">disminución del analfabetismo en el estado </w:t>
            </w:r>
            <w:r w:rsidR="00E74948">
              <w:rPr>
                <w:rFonts w:eastAsia="Times New Roman"/>
                <w:color w:val="000000"/>
                <w:lang w:eastAsia="es-MX"/>
              </w:rPr>
              <w:t xml:space="preserve">mediante la implementación de </w:t>
            </w:r>
            <w:r w:rsidR="009C06EF">
              <w:rPr>
                <w:rFonts w:eastAsia="Times New Roman"/>
                <w:color w:val="000000"/>
                <w:lang w:eastAsia="es-MX"/>
              </w:rPr>
              <w:t>los Servicios Descentralizados para la Educación de los Adultos</w:t>
            </w:r>
            <w:r w:rsidR="00E74948">
              <w:rPr>
                <w:rFonts w:eastAsia="Times New Roman"/>
                <w:color w:val="000000"/>
                <w:lang w:eastAsia="es-MX"/>
              </w:rPr>
              <w:t>.</w:t>
            </w:r>
          </w:p>
          <w:p w14:paraId="25DEA2E5" w14:textId="77777777" w:rsidR="00E32D71" w:rsidRPr="00A631C2" w:rsidRDefault="003954C6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631C2">
              <w:rPr>
                <w:rFonts w:eastAsia="Times New Roman"/>
                <w:color w:val="000000"/>
                <w:lang w:eastAsia="es-MX"/>
              </w:rPr>
              <w:t>Estimar el impacto generado y emitir juicios de valor respecto de los resultados obtenidos y la forma de mejorarlos.</w:t>
            </w:r>
          </w:p>
          <w:p w14:paraId="691BF764" w14:textId="4DA8AD29" w:rsidR="00A631C2" w:rsidRPr="00A631C2" w:rsidRDefault="00A631C2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2272AA">
              <w:rPr>
                <w:rFonts w:eastAsia="Times New Roman"/>
                <w:color w:val="000000"/>
                <w:lang w:eastAsia="es-MX"/>
              </w:rPr>
              <w:t>Realizar una valoración general de los resultados y productos del programa, así como el desempeño institucional en la operación</w:t>
            </w:r>
            <w:r w:rsidR="00317E7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d</w:t>
            </w:r>
            <w:r w:rsidRPr="00A631C2">
              <w:rPr>
                <w:rFonts w:asciiTheme="minorHAnsi" w:eastAsia="Arial" w:hAnsiTheme="minorHAnsi" w:cs="Arial"/>
              </w:rPr>
              <w:t>el</w:t>
            </w:r>
            <w:r w:rsidR="00317E75">
              <w:rPr>
                <w:rFonts w:asciiTheme="minorHAnsi" w:eastAsia="Arial" w:hAnsiTheme="minorHAnsi" w:cs="Arial"/>
              </w:rPr>
              <w:t xml:space="preserve"> 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p</w:t>
            </w:r>
            <w:r w:rsidRPr="00A631C2">
              <w:rPr>
                <w:rFonts w:asciiTheme="minorHAnsi" w:eastAsia="Arial" w:hAnsiTheme="minorHAnsi" w:cs="Arial"/>
              </w:rPr>
              <w:t>ro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g</w:t>
            </w:r>
            <w:r w:rsidRPr="00A631C2">
              <w:rPr>
                <w:rFonts w:asciiTheme="minorHAnsi" w:eastAsia="Arial" w:hAnsiTheme="minorHAnsi" w:cs="Arial"/>
              </w:rPr>
              <w:t>ra</w:t>
            </w:r>
            <w:r w:rsidRPr="00A631C2">
              <w:rPr>
                <w:rFonts w:asciiTheme="minorHAnsi" w:eastAsia="Arial" w:hAnsiTheme="minorHAnsi" w:cs="Arial"/>
                <w:spacing w:val="-3"/>
              </w:rPr>
              <w:t>m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a</w:t>
            </w:r>
            <w:r w:rsidRPr="00A631C2">
              <w:rPr>
                <w:rFonts w:asciiTheme="minorHAnsi" w:eastAsia="Arial" w:hAnsiTheme="minorHAnsi" w:cs="Arial"/>
                <w:spacing w:val="-2"/>
              </w:rPr>
              <w:t xml:space="preserve">. </w:t>
            </w:r>
          </w:p>
          <w:p w14:paraId="70EEAD1D" w14:textId="15E55791" w:rsidR="00E1388F" w:rsidRPr="00BA4A59" w:rsidRDefault="00A631C2" w:rsidP="00FD1DAA">
            <w:pPr>
              <w:pStyle w:val="Prrafodelista"/>
              <w:numPr>
                <w:ilvl w:val="0"/>
                <w:numId w:val="37"/>
              </w:numPr>
              <w:spacing w:after="0"/>
              <w:ind w:left="714" w:hanging="357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A631C2">
              <w:rPr>
                <w:rFonts w:eastAsia="Arial" w:cs="Arial"/>
              </w:rPr>
              <w:t>I</w:t>
            </w:r>
            <w:r w:rsidRPr="00A631C2">
              <w:rPr>
                <w:rFonts w:eastAsia="Arial" w:cs="Arial"/>
                <w:spacing w:val="1"/>
              </w:rPr>
              <w:t>de</w:t>
            </w:r>
            <w:r w:rsidRPr="00A631C2">
              <w:rPr>
                <w:rFonts w:eastAsia="Arial" w:cs="Arial"/>
                <w:spacing w:val="-1"/>
              </w:rPr>
              <w:t>n</w:t>
            </w:r>
            <w:r w:rsidRPr="00A631C2">
              <w:rPr>
                <w:rFonts w:eastAsia="Arial" w:cs="Arial"/>
              </w:rPr>
              <w:t>tific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r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</w:rPr>
              <w:t>los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p</w:t>
            </w:r>
            <w:r w:rsidRPr="00A631C2">
              <w:rPr>
                <w:rFonts w:eastAsia="Arial" w:cs="Arial"/>
              </w:rPr>
              <w:t>r</w:t>
            </w:r>
            <w:r w:rsidRPr="00A631C2">
              <w:rPr>
                <w:rFonts w:eastAsia="Arial" w:cs="Arial"/>
                <w:spacing w:val="-1"/>
              </w:rPr>
              <w:t>i</w:t>
            </w:r>
            <w:r w:rsidRPr="00A631C2">
              <w:rPr>
                <w:rFonts w:eastAsia="Arial" w:cs="Arial"/>
                <w:spacing w:val="1"/>
              </w:rPr>
              <w:t>n</w:t>
            </w:r>
            <w:r w:rsidRPr="00A631C2">
              <w:rPr>
                <w:rFonts w:eastAsia="Arial" w:cs="Arial"/>
              </w:rPr>
              <w:t>c</w:t>
            </w:r>
            <w:r w:rsidRPr="00A631C2">
              <w:rPr>
                <w:rFonts w:eastAsia="Arial" w:cs="Arial"/>
                <w:spacing w:val="-3"/>
              </w:rPr>
              <w:t>i</w:t>
            </w:r>
            <w:r w:rsidRPr="00A631C2">
              <w:rPr>
                <w:rFonts w:eastAsia="Arial" w:cs="Arial"/>
                <w:spacing w:val="1"/>
              </w:rPr>
              <w:t>pa</w:t>
            </w:r>
            <w:r w:rsidRPr="00A631C2">
              <w:rPr>
                <w:rFonts w:eastAsia="Arial" w:cs="Arial"/>
                <w:spacing w:val="-3"/>
              </w:rPr>
              <w:t>l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s</w:t>
            </w:r>
            <w:r w:rsidRPr="00A631C2">
              <w:rPr>
                <w:rFonts w:eastAsia="Arial" w:cs="Arial"/>
                <w:spacing w:val="-1"/>
              </w:rPr>
              <w:t>p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ct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</w:rPr>
              <w:t>s s</w:t>
            </w:r>
            <w:r w:rsidRPr="00A631C2">
              <w:rPr>
                <w:rFonts w:eastAsia="Arial" w:cs="Arial"/>
                <w:spacing w:val="1"/>
              </w:rPr>
              <w:t>u</w:t>
            </w:r>
            <w:r w:rsidRPr="00A631C2">
              <w:rPr>
                <w:rFonts w:eastAsia="Arial" w:cs="Arial"/>
              </w:rPr>
              <w:t>sc</w:t>
            </w:r>
            <w:r w:rsidRPr="00A631C2">
              <w:rPr>
                <w:rFonts w:eastAsia="Arial" w:cs="Arial"/>
                <w:spacing w:val="-1"/>
              </w:rPr>
              <w:t>e</w:t>
            </w:r>
            <w:r w:rsidRPr="00A631C2">
              <w:rPr>
                <w:rFonts w:eastAsia="Arial" w:cs="Arial"/>
                <w:spacing w:val="1"/>
              </w:rPr>
              <w:t>p</w:t>
            </w:r>
            <w:r w:rsidRPr="00A631C2">
              <w:rPr>
                <w:rFonts w:eastAsia="Arial" w:cs="Arial"/>
              </w:rPr>
              <w:t>ti</w:t>
            </w:r>
            <w:r w:rsidRPr="00A631C2">
              <w:rPr>
                <w:rFonts w:eastAsia="Arial" w:cs="Arial"/>
                <w:spacing w:val="1"/>
              </w:rPr>
              <w:t>b</w:t>
            </w:r>
            <w:r w:rsidRPr="00A631C2">
              <w:rPr>
                <w:rFonts w:eastAsia="Arial" w:cs="Arial"/>
                <w:spacing w:val="-3"/>
              </w:rPr>
              <w:t>l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jora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el</w:t>
            </w:r>
            <w:r w:rsidRPr="00A631C2">
              <w:rPr>
                <w:rFonts w:eastAsia="Arial" w:cs="Arial"/>
                <w:spacing w:val="1"/>
              </w:rPr>
              <w:t xml:space="preserve"> p</w:t>
            </w:r>
            <w:r w:rsidRPr="00A631C2">
              <w:rPr>
                <w:rFonts w:eastAsia="Arial" w:cs="Arial"/>
                <w:spacing w:val="-3"/>
              </w:rPr>
              <w:t>r</w:t>
            </w:r>
            <w:r w:rsidRPr="00A631C2">
              <w:rPr>
                <w:rFonts w:eastAsia="Arial" w:cs="Arial"/>
                <w:spacing w:val="1"/>
              </w:rPr>
              <w:t>og</w:t>
            </w:r>
            <w:r w:rsidRPr="00A631C2">
              <w:rPr>
                <w:rFonts w:eastAsia="Arial" w:cs="Arial"/>
              </w:rPr>
              <w:t>ra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  <w:spacing w:val="1"/>
              </w:rPr>
              <w:t>a</w:t>
            </w:r>
            <w:r w:rsidR="00317E75">
              <w:rPr>
                <w:rFonts w:eastAsia="Arial" w:cs="Arial"/>
                <w:spacing w:val="1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de</w:t>
            </w:r>
            <w:r w:rsidRPr="00A631C2">
              <w:rPr>
                <w:rFonts w:eastAsia="Arial" w:cs="Arial"/>
              </w:rPr>
              <w:t>r</w:t>
            </w:r>
            <w:r w:rsidRPr="00A631C2">
              <w:rPr>
                <w:rFonts w:eastAsia="Arial" w:cs="Arial"/>
                <w:spacing w:val="-1"/>
              </w:rPr>
              <w:t>i</w:t>
            </w:r>
            <w:r w:rsidRPr="00A631C2">
              <w:rPr>
                <w:rFonts w:eastAsia="Arial" w:cs="Arial"/>
              </w:rPr>
              <w:t>v</w:t>
            </w:r>
            <w:r w:rsidRPr="00A631C2">
              <w:rPr>
                <w:rFonts w:eastAsia="Arial" w:cs="Arial"/>
                <w:spacing w:val="1"/>
              </w:rPr>
              <w:t>ado</w:t>
            </w:r>
            <w:r w:rsidRPr="00A631C2">
              <w:rPr>
                <w:rFonts w:eastAsia="Arial" w:cs="Arial"/>
              </w:rPr>
              <w:t>s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</w:rPr>
              <w:t>la</w:t>
            </w:r>
            <w:r w:rsidRPr="00A631C2">
              <w:rPr>
                <w:rFonts w:eastAsia="Arial" w:cs="Arial"/>
                <w:spacing w:val="1"/>
              </w:rPr>
              <w:t xml:space="preserve"> e</w:t>
            </w:r>
            <w:r w:rsidRPr="00A631C2">
              <w:rPr>
                <w:rFonts w:eastAsia="Arial" w:cs="Arial"/>
                <w:spacing w:val="-2"/>
              </w:rPr>
              <w:t>v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lu</w:t>
            </w:r>
            <w:r w:rsidRPr="00A631C2">
              <w:rPr>
                <w:rFonts w:eastAsia="Arial" w:cs="Arial"/>
                <w:spacing w:val="-1"/>
              </w:rPr>
              <w:t>a</w:t>
            </w:r>
            <w:r w:rsidRPr="00A631C2">
              <w:rPr>
                <w:rFonts w:eastAsia="Arial" w:cs="Arial"/>
              </w:rPr>
              <w:t>ció</w:t>
            </w:r>
            <w:r w:rsidRPr="00A631C2">
              <w:rPr>
                <w:rFonts w:eastAsia="Arial" w:cs="Arial"/>
                <w:spacing w:val="4"/>
              </w:rPr>
              <w:t>n</w:t>
            </w:r>
            <w:r w:rsidRPr="00A631C2">
              <w:rPr>
                <w:rFonts w:eastAsia="Arial" w:cs="Arial"/>
              </w:rPr>
              <w:t>,</w:t>
            </w:r>
            <w:r w:rsidRPr="00A631C2">
              <w:rPr>
                <w:rFonts w:eastAsia="Arial" w:cs="Arial"/>
                <w:spacing w:val="1"/>
              </w:rPr>
              <w:t xml:space="preserve"> a</w:t>
            </w:r>
            <w:r w:rsidRPr="00A631C2">
              <w:rPr>
                <w:rFonts w:eastAsia="Arial" w:cs="Arial"/>
                <w:spacing w:val="-2"/>
              </w:rPr>
              <w:t>s</w:t>
            </w:r>
            <w:r w:rsidRPr="00A631C2">
              <w:rPr>
                <w:rFonts w:eastAsia="Arial" w:cs="Arial"/>
              </w:rPr>
              <w:t>í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</w:rPr>
              <w:t>c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</w:rPr>
              <w:t>o</w:t>
            </w:r>
            <w:r w:rsidRPr="00A631C2">
              <w:rPr>
                <w:rFonts w:eastAsia="Arial" w:cs="Arial"/>
                <w:spacing w:val="1"/>
              </w:rPr>
              <w:t xml:space="preserve"> d</w:t>
            </w:r>
            <w:r w:rsidRPr="00A631C2">
              <w:rPr>
                <w:rFonts w:eastAsia="Arial" w:cs="Arial"/>
              </w:rPr>
              <w:t>e</w:t>
            </w:r>
            <w:r w:rsidR="00317E75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-2"/>
              </w:rPr>
              <w:t>l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</w:rPr>
              <w:t xml:space="preserve">s </w:t>
            </w:r>
            <w:r w:rsidRPr="00A631C2">
              <w:rPr>
                <w:rFonts w:eastAsia="Arial" w:cs="Arial"/>
                <w:spacing w:val="-1"/>
              </w:rPr>
              <w:t>h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l</w:t>
            </w:r>
            <w:r w:rsidRPr="00A631C2">
              <w:rPr>
                <w:rFonts w:eastAsia="Arial" w:cs="Arial"/>
                <w:spacing w:val="-1"/>
              </w:rPr>
              <w:t>l</w:t>
            </w:r>
            <w:r w:rsidRPr="00A631C2">
              <w:rPr>
                <w:rFonts w:eastAsia="Arial" w:cs="Arial"/>
                <w:spacing w:val="3"/>
              </w:rPr>
              <w:t>a</w:t>
            </w:r>
            <w:r w:rsidRPr="00A631C2">
              <w:rPr>
                <w:rFonts w:eastAsia="Arial" w:cs="Arial"/>
                <w:spacing w:val="-7"/>
              </w:rPr>
              <w:t>z</w:t>
            </w:r>
            <w:r w:rsidRPr="00A631C2">
              <w:rPr>
                <w:rFonts w:eastAsia="Arial" w:cs="Arial"/>
                <w:spacing w:val="1"/>
              </w:rPr>
              <w:t>go</w:t>
            </w:r>
            <w:r w:rsidRPr="00A631C2">
              <w:rPr>
                <w:rFonts w:eastAsia="Arial" w:cs="Arial"/>
              </w:rPr>
              <w:t>s rele</w:t>
            </w:r>
            <w:r w:rsidRPr="00A631C2">
              <w:rPr>
                <w:rFonts w:eastAsia="Arial" w:cs="Arial"/>
                <w:spacing w:val="3"/>
              </w:rPr>
              <w:t>v</w:t>
            </w:r>
            <w:r w:rsidRPr="00A631C2">
              <w:rPr>
                <w:rFonts w:eastAsia="Arial" w:cs="Arial"/>
                <w:spacing w:val="1"/>
              </w:rPr>
              <w:t>an</w:t>
            </w:r>
            <w:r w:rsidRPr="00A631C2">
              <w:rPr>
                <w:rFonts w:eastAsia="Arial" w:cs="Arial"/>
              </w:rPr>
              <w:t>t</w:t>
            </w:r>
            <w:r w:rsidRPr="00A631C2">
              <w:rPr>
                <w:rFonts w:eastAsia="Arial" w:cs="Arial"/>
                <w:spacing w:val="1"/>
              </w:rPr>
              <w:t>es.</w:t>
            </w:r>
          </w:p>
        </w:tc>
      </w:tr>
      <w:tr w:rsidR="00690BCC" w:rsidRPr="00E1388F" w14:paraId="2901567B" w14:textId="77777777" w:rsidTr="006E0ADC">
        <w:trPr>
          <w:trHeight w:val="480"/>
          <w:tblCellSpacing w:w="20" w:type="dxa"/>
        </w:trPr>
        <w:tc>
          <w:tcPr>
            <w:tcW w:w="10323" w:type="dxa"/>
            <w:gridSpan w:val="5"/>
            <w:shd w:val="clear" w:color="000000" w:fill="FFFFFF"/>
            <w:noWrap/>
            <w:hideMark/>
          </w:tcPr>
          <w:p w14:paraId="74FE8FED" w14:textId="77777777" w:rsidR="00A97B59" w:rsidRDefault="00E1388F" w:rsidP="00C56251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1.7 Metodología Utilizada en la Evaluación:</w:t>
            </w:r>
          </w:p>
          <w:p w14:paraId="64E464F1" w14:textId="77777777" w:rsidR="00E1388F" w:rsidRPr="00E1388F" w:rsidRDefault="00B634A7" w:rsidP="00C5625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cstheme="minorHAnsi"/>
                <w:lang w:val="es-ES"/>
              </w:rPr>
              <w:t>Trabajo de escritorio, mediante el cumplimiento de los Términos de Referencia para la Evaluación Específica del Desempeño</w:t>
            </w:r>
            <w:r w:rsidR="00D73FE0">
              <w:rPr>
                <w:rFonts w:cstheme="minorHAnsi"/>
                <w:lang w:val="es-ES"/>
              </w:rPr>
              <w:t>.</w:t>
            </w:r>
          </w:p>
        </w:tc>
      </w:tr>
      <w:tr w:rsidR="00690BCC" w:rsidRPr="00E1388F" w14:paraId="70D2CA34" w14:textId="77777777" w:rsidTr="006E0ADC">
        <w:trPr>
          <w:trHeight w:val="360"/>
          <w:tblCellSpacing w:w="20" w:type="dxa"/>
        </w:trPr>
        <w:tc>
          <w:tcPr>
            <w:tcW w:w="10323" w:type="dxa"/>
            <w:gridSpan w:val="5"/>
            <w:shd w:val="clear" w:color="auto" w:fill="D9D9D9" w:themeFill="background1" w:themeFillShade="D9"/>
            <w:noWrap/>
            <w:hideMark/>
          </w:tcPr>
          <w:p w14:paraId="335F79DC" w14:textId="1A5D07E1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Instrumentos de Recolección de Información: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332B81" w:rsidRPr="00BA4A59">
              <w:rPr>
                <w:rFonts w:eastAsia="Times New Roman"/>
                <w:color w:val="000000"/>
                <w:lang w:eastAsia="es-MX"/>
              </w:rPr>
              <w:t>Selecc</w:t>
            </w:r>
            <w:r w:rsidR="0041452B" w:rsidRPr="00BA4A59">
              <w:rPr>
                <w:rFonts w:eastAsia="Times New Roman"/>
                <w:color w:val="000000"/>
                <w:lang w:eastAsia="es-MX"/>
              </w:rPr>
              <w:t>ionar con una (X) según sea el caso</w:t>
            </w:r>
          </w:p>
        </w:tc>
      </w:tr>
      <w:tr w:rsidR="00EC63B6" w:rsidRPr="00E1388F" w14:paraId="137D3C2E" w14:textId="77777777" w:rsidTr="006E0ADC">
        <w:trPr>
          <w:trHeight w:val="390"/>
          <w:tblCellSpacing w:w="20" w:type="dxa"/>
        </w:trPr>
        <w:tc>
          <w:tcPr>
            <w:tcW w:w="2528" w:type="dxa"/>
            <w:shd w:val="clear" w:color="000000" w:fill="FFFFFF"/>
            <w:noWrap/>
            <w:hideMark/>
          </w:tcPr>
          <w:p w14:paraId="61A43290" w14:textId="77777777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Cuestionarios:</w:t>
            </w:r>
          </w:p>
        </w:tc>
        <w:tc>
          <w:tcPr>
            <w:tcW w:w="2396" w:type="dxa"/>
            <w:gridSpan w:val="2"/>
            <w:shd w:val="clear" w:color="000000" w:fill="FFFFFF"/>
            <w:noWrap/>
            <w:hideMark/>
          </w:tcPr>
          <w:p w14:paraId="733499F2" w14:textId="77777777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Entrevistas:</w:t>
            </w:r>
          </w:p>
        </w:tc>
        <w:tc>
          <w:tcPr>
            <w:tcW w:w="2239" w:type="dxa"/>
            <w:shd w:val="clear" w:color="000000" w:fill="FFFFFF"/>
            <w:noWrap/>
            <w:hideMark/>
          </w:tcPr>
          <w:p w14:paraId="4402DEBC" w14:textId="7E041109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Formatos: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544072">
              <w:rPr>
                <w:rFonts w:eastAsia="Times New Roman"/>
                <w:b/>
                <w:color w:val="000000"/>
                <w:lang w:eastAsia="es-MX"/>
              </w:rPr>
              <w:t>X</w:t>
            </w:r>
          </w:p>
        </w:tc>
        <w:tc>
          <w:tcPr>
            <w:tcW w:w="3040" w:type="dxa"/>
            <w:shd w:val="clear" w:color="000000" w:fill="FFFFFF"/>
            <w:noWrap/>
            <w:hideMark/>
          </w:tcPr>
          <w:p w14:paraId="3D27BC05" w14:textId="77777777" w:rsidR="00544072" w:rsidRDefault="00E1388F" w:rsidP="0063439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Especifique:</w:t>
            </w:r>
          </w:p>
          <w:p w14:paraId="3864F0F8" w14:textId="77777777" w:rsidR="00E1388F" w:rsidRPr="00544072" w:rsidRDefault="00544072" w:rsidP="00634396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Esquema de la Evaluación Especifica de Desempeño</w:t>
            </w:r>
          </w:p>
        </w:tc>
      </w:tr>
      <w:tr w:rsidR="00690BCC" w:rsidRPr="00E1388F" w14:paraId="5F0C467F" w14:textId="77777777" w:rsidTr="006E0ADC">
        <w:trPr>
          <w:trHeight w:val="216"/>
          <w:tblCellSpacing w:w="20" w:type="dxa"/>
        </w:trPr>
        <w:tc>
          <w:tcPr>
            <w:tcW w:w="10323" w:type="dxa"/>
            <w:gridSpan w:val="5"/>
            <w:shd w:val="clear" w:color="000000" w:fill="FFFFFF"/>
            <w:noWrap/>
            <w:hideMark/>
          </w:tcPr>
          <w:p w14:paraId="467A5B45" w14:textId="77777777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Descripción de las Técnicas y Modelos Utilizados:</w:t>
            </w:r>
            <w:r w:rsidR="00BF25EA" w:rsidRPr="00BA4A59">
              <w:rPr>
                <w:rFonts w:eastAsia="Times New Roman"/>
                <w:b/>
                <w:color w:val="000000"/>
                <w:lang w:eastAsia="es-MX"/>
              </w:rPr>
              <w:t xml:space="preserve"> Mencionar las herramientas y la relación entre ellos</w:t>
            </w:r>
          </w:p>
        </w:tc>
      </w:tr>
    </w:tbl>
    <w:p w14:paraId="1013E7D2" w14:textId="77777777" w:rsidR="00645319" w:rsidRDefault="00645319" w:rsidP="00C36E65">
      <w:pPr>
        <w:spacing w:after="0"/>
      </w:pPr>
    </w:p>
    <w:tbl>
      <w:tblPr>
        <w:tblW w:w="10545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5"/>
      </w:tblGrid>
      <w:tr w:rsidR="00690BCC" w:rsidRPr="00BA4A59" w14:paraId="1FED6869" w14:textId="77777777" w:rsidTr="006E0ADC">
        <w:trPr>
          <w:trHeight w:val="300"/>
          <w:tblCellSpacing w:w="20" w:type="dxa"/>
        </w:trPr>
        <w:tc>
          <w:tcPr>
            <w:tcW w:w="10465" w:type="dxa"/>
            <w:shd w:val="clear" w:color="000000" w:fill="8B1D31"/>
            <w:noWrap/>
            <w:vAlign w:val="center"/>
            <w:hideMark/>
          </w:tcPr>
          <w:p w14:paraId="74F96D92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2. Principales Hallazgos de la Evaluación</w:t>
            </w:r>
          </w:p>
        </w:tc>
      </w:tr>
      <w:tr w:rsidR="00690BCC" w:rsidRPr="00E1388F" w14:paraId="03BEE873" w14:textId="77777777" w:rsidTr="006E0ADC">
        <w:trPr>
          <w:trHeight w:val="465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71CB4D0C" w14:textId="7D0E7F5A" w:rsidR="00E1388F" w:rsidRDefault="00E1388F" w:rsidP="00F46C22">
            <w:pPr>
              <w:spacing w:after="0" w:line="240" w:lineRule="auto"/>
              <w:rPr>
                <w:rFonts w:cstheme="minorHAnsi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2.1 Describir</w:t>
            </w:r>
            <w:r w:rsidR="00690BCC" w:rsidRPr="00BA4A59">
              <w:rPr>
                <w:rFonts w:eastAsia="Times New Roman"/>
                <w:b/>
                <w:color w:val="000000"/>
                <w:lang w:eastAsia="es-MX"/>
              </w:rPr>
              <w:t xml:space="preserve"> los Hallazgos más Relevantes d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>e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>la Evaluación:</w:t>
            </w:r>
          </w:p>
          <w:p w14:paraId="1F57BB73" w14:textId="2C11C788" w:rsidR="00F46C22" w:rsidRPr="00E1388F" w:rsidRDefault="001941FF" w:rsidP="00DE682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1941FF">
              <w:rPr>
                <w:rFonts w:cstheme="minorHAnsi"/>
                <w:lang w:val="es-ES"/>
              </w:rPr>
              <w:t xml:space="preserve">El programa contribuye al indicador sectorial Analfabetismo donde con las acciones realizadas hasta el cierre del </w:t>
            </w:r>
            <w:r w:rsidRPr="00645319">
              <w:rPr>
                <w:rFonts w:cstheme="minorHAnsi"/>
                <w:lang w:val="es-ES"/>
              </w:rPr>
              <w:t xml:space="preserve">2019, se logró el 3.1% de avance en la tasa de analfabetismo del 4.2% que se tenía en el 2015 en Sinaloa, logrando </w:t>
            </w:r>
            <w:r w:rsidRPr="00645319">
              <w:rPr>
                <w:rFonts w:cstheme="minorHAnsi"/>
                <w:lang w:val="es-ES"/>
              </w:rPr>
              <w:lastRenderedPageBreak/>
              <w:t xml:space="preserve">bandera blanca por la disminución en el porcentaje y aunado a ello, los municipios del estado se encuentran </w:t>
            </w:r>
            <w:r w:rsidR="00DE6821" w:rsidRPr="00645319">
              <w:rPr>
                <w:rFonts w:cstheme="minorHAnsi"/>
                <w:lang w:val="es-ES"/>
              </w:rPr>
              <w:t>con</w:t>
            </w:r>
            <w:r w:rsidRPr="00645319">
              <w:rPr>
                <w:rFonts w:cstheme="minorHAnsi"/>
                <w:lang w:val="es-ES"/>
              </w:rPr>
              <w:t xml:space="preserve"> </w:t>
            </w:r>
            <w:r w:rsidR="00AE5FC1" w:rsidRPr="00645319">
              <w:rPr>
                <w:rFonts w:cstheme="minorHAnsi"/>
                <w:lang w:val="es-ES"/>
              </w:rPr>
              <w:t xml:space="preserve">menos de </w:t>
            </w:r>
            <w:r w:rsidRPr="00645319">
              <w:rPr>
                <w:rFonts w:cstheme="minorHAnsi"/>
                <w:lang w:val="es-ES"/>
              </w:rPr>
              <w:t xml:space="preserve">dos dígitos </w:t>
            </w:r>
            <w:r w:rsidRPr="00AE5FC1">
              <w:rPr>
                <w:rFonts w:cstheme="minorHAnsi"/>
                <w:lang w:val="es-ES"/>
              </w:rPr>
              <w:t>en el porcentaje de personas que no saben leer ni escribir y que son atendidos en el Instituto.</w:t>
            </w:r>
          </w:p>
        </w:tc>
      </w:tr>
      <w:tr w:rsidR="00690BCC" w:rsidRPr="00E1388F" w14:paraId="5DAE4C0A" w14:textId="77777777" w:rsidTr="006E0ADC">
        <w:trPr>
          <w:trHeight w:val="379"/>
          <w:tblCellSpacing w:w="20" w:type="dxa"/>
        </w:trPr>
        <w:tc>
          <w:tcPr>
            <w:tcW w:w="10465" w:type="dxa"/>
            <w:shd w:val="clear" w:color="auto" w:fill="D9D9D9" w:themeFill="background1" w:themeFillShade="D9"/>
            <w:hideMark/>
          </w:tcPr>
          <w:p w14:paraId="4DE823B2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lastRenderedPageBreak/>
              <w:t xml:space="preserve">2.2 Señalar </w:t>
            </w:r>
            <w:r w:rsidR="000A0543" w:rsidRPr="00BA4A59">
              <w:rPr>
                <w:rFonts w:eastAsia="Times New Roman"/>
                <w:b/>
                <w:color w:val="000000"/>
                <w:lang w:eastAsia="es-MX"/>
              </w:rPr>
              <w:t>cu</w:t>
            </w:r>
            <w:r w:rsidR="00690BCC" w:rsidRPr="00BA4A59">
              <w:rPr>
                <w:rFonts w:eastAsia="Times New Roman"/>
                <w:b/>
                <w:color w:val="000000"/>
                <w:lang w:eastAsia="es-MX"/>
              </w:rPr>
              <w:t>áles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 son las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rincipales Fortalezas, Oportunidades, Debilidades y Amenazas (FODA), de Acuerdo con los temas del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rograma,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e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strategia o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i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>nstituciones.</w:t>
            </w:r>
          </w:p>
        </w:tc>
      </w:tr>
      <w:tr w:rsidR="000A0543" w:rsidRPr="00E1388F" w14:paraId="1F61FF7D" w14:textId="77777777" w:rsidTr="006E0ADC">
        <w:trPr>
          <w:trHeight w:val="507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02A7F673" w14:textId="77777777" w:rsidR="00F46C22" w:rsidRDefault="000A0543" w:rsidP="0063439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2.2.1 Fortalezas: </w:t>
            </w:r>
          </w:p>
          <w:p w14:paraId="1F884066" w14:textId="25578406" w:rsidR="001941FF" w:rsidRPr="001941FF" w:rsidRDefault="001941FF" w:rsidP="00C5625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eastAsia="Times New Roman"/>
                <w:color w:val="000000"/>
                <w:lang w:eastAsia="es-MX"/>
              </w:rPr>
            </w:pPr>
            <w:r w:rsidRPr="001941FF">
              <w:rPr>
                <w:rFonts w:eastAsia="Times New Roman"/>
                <w:color w:val="000000"/>
                <w:lang w:eastAsia="es-MX"/>
              </w:rPr>
              <w:t xml:space="preserve">Reducción del analfabetismo en el estado al lograr reducir en menos del 4% y que todos los municipios lograran menos de dos dígitos en el índice, así como disminuir el número de personas en rezago educativo en Sinaloa. </w:t>
            </w:r>
          </w:p>
          <w:p w14:paraId="3504FE0B" w14:textId="7BA8F629" w:rsidR="001941FF" w:rsidRPr="001941FF" w:rsidRDefault="001941FF" w:rsidP="001941FF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1941FF">
              <w:rPr>
                <w:rFonts w:eastAsia="Times New Roman"/>
                <w:color w:val="000000"/>
                <w:lang w:eastAsia="es-MX"/>
              </w:rPr>
              <w:t>Cobertura en los 18 municipios del estado de Sinaloa, con una atención anual de 4,996 jóvenes y adultos que concluyeron su nivel primaria, 10,381 su secundaria, 2,600 se alfabetizaron y 20,262 educandos recibían atención educativa.</w:t>
            </w:r>
          </w:p>
          <w:p w14:paraId="7C749416" w14:textId="6A264BB4" w:rsidR="000A0543" w:rsidRPr="00544072" w:rsidRDefault="001941FF" w:rsidP="00A07BDC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1941FF">
              <w:rPr>
                <w:rFonts w:eastAsia="Times New Roman"/>
                <w:color w:val="000000"/>
                <w:lang w:eastAsia="es-MX"/>
              </w:rPr>
              <w:t xml:space="preserve">Capacitación a las </w:t>
            </w:r>
            <w:r w:rsidRPr="00645319">
              <w:rPr>
                <w:rFonts w:eastAsia="Times New Roman"/>
                <w:lang w:eastAsia="es-MX"/>
              </w:rPr>
              <w:t xml:space="preserve">figuras solidarias </w:t>
            </w:r>
            <w:r w:rsidR="00AE5FC1" w:rsidRPr="00645319">
              <w:rPr>
                <w:rFonts w:eastAsia="Times New Roman"/>
                <w:lang w:eastAsia="es-MX"/>
              </w:rPr>
              <w:t>para</w:t>
            </w:r>
            <w:r w:rsidRPr="00645319">
              <w:rPr>
                <w:rFonts w:eastAsia="Times New Roman"/>
                <w:lang w:eastAsia="es-MX"/>
              </w:rPr>
              <w:t xml:space="preserve"> </w:t>
            </w:r>
            <w:r w:rsidR="00A07BDC" w:rsidRPr="00645319">
              <w:rPr>
                <w:rFonts w:eastAsia="Times New Roman"/>
                <w:lang w:eastAsia="es-MX"/>
              </w:rPr>
              <w:t>brindar</w:t>
            </w:r>
            <w:r w:rsidR="00AE5FC1" w:rsidRPr="00645319">
              <w:rPr>
                <w:rFonts w:eastAsia="Times New Roman"/>
                <w:lang w:eastAsia="es-MX"/>
              </w:rPr>
              <w:t xml:space="preserve"> </w:t>
            </w:r>
            <w:r w:rsidRPr="00645319">
              <w:rPr>
                <w:rFonts w:eastAsia="Times New Roman"/>
                <w:lang w:eastAsia="es-MX"/>
              </w:rPr>
              <w:t xml:space="preserve">un mejor servicio educativo </w:t>
            </w:r>
            <w:r w:rsidR="00AE5FC1" w:rsidRPr="00645319">
              <w:rPr>
                <w:rFonts w:eastAsia="Times New Roman"/>
                <w:lang w:eastAsia="es-MX"/>
              </w:rPr>
              <w:t xml:space="preserve">y </w:t>
            </w:r>
            <w:r w:rsidRPr="00645319">
              <w:rPr>
                <w:rFonts w:eastAsia="Times New Roman"/>
                <w:lang w:eastAsia="es-MX"/>
              </w:rPr>
              <w:t xml:space="preserve">de </w:t>
            </w:r>
            <w:r w:rsidR="00EA0E3B" w:rsidRPr="00645319">
              <w:rPr>
                <w:rFonts w:eastAsia="Times New Roman"/>
                <w:lang w:eastAsia="es-MX"/>
              </w:rPr>
              <w:t xml:space="preserve">mayor </w:t>
            </w:r>
            <w:r w:rsidRPr="00645319">
              <w:rPr>
                <w:rFonts w:eastAsia="Times New Roman"/>
                <w:lang w:eastAsia="es-MX"/>
              </w:rPr>
              <w:t>calidad</w:t>
            </w:r>
            <w:r w:rsidR="00AE5FC1" w:rsidRPr="00645319">
              <w:rPr>
                <w:rFonts w:eastAsia="Times New Roman"/>
                <w:lang w:eastAsia="es-MX"/>
              </w:rPr>
              <w:t xml:space="preserve"> a la población</w:t>
            </w:r>
            <w:r w:rsidRPr="00645319">
              <w:rPr>
                <w:rFonts w:eastAsia="Times New Roman"/>
                <w:lang w:eastAsia="es-MX"/>
              </w:rPr>
              <w:t xml:space="preserve">, </w:t>
            </w:r>
            <w:r w:rsidR="00AE5FC1" w:rsidRPr="00645319">
              <w:rPr>
                <w:rFonts w:eastAsia="Times New Roman"/>
                <w:lang w:eastAsia="es-MX"/>
              </w:rPr>
              <w:t xml:space="preserve">el </w:t>
            </w:r>
            <w:r w:rsidRPr="00645319">
              <w:rPr>
                <w:rFonts w:eastAsia="Times New Roman"/>
                <w:lang w:eastAsia="es-MX"/>
              </w:rPr>
              <w:t xml:space="preserve">reforzamiento en asesorías de </w:t>
            </w:r>
            <w:r w:rsidR="00AE5FC1">
              <w:rPr>
                <w:rFonts w:eastAsia="Times New Roman"/>
                <w:color w:val="000000"/>
                <w:lang w:eastAsia="es-MX"/>
              </w:rPr>
              <w:t xml:space="preserve">los </w:t>
            </w:r>
            <w:r w:rsidRPr="001941FF">
              <w:rPr>
                <w:rFonts w:eastAsia="Times New Roman"/>
                <w:color w:val="000000"/>
                <w:lang w:eastAsia="es-MX"/>
              </w:rPr>
              <w:t>módulos con mayor índice de reprobación, permitieron alcanzar un 76% de aprobación de los educandos.</w:t>
            </w:r>
          </w:p>
        </w:tc>
      </w:tr>
      <w:tr w:rsidR="000A0543" w:rsidRPr="00E1388F" w14:paraId="11F16329" w14:textId="77777777" w:rsidTr="006E0ADC">
        <w:trPr>
          <w:trHeight w:val="555"/>
          <w:tblCellSpacing w:w="20" w:type="dxa"/>
        </w:trPr>
        <w:tc>
          <w:tcPr>
            <w:tcW w:w="10465" w:type="dxa"/>
            <w:shd w:val="clear" w:color="000000" w:fill="FFFFFF"/>
            <w:noWrap/>
          </w:tcPr>
          <w:p w14:paraId="0D931CAE" w14:textId="77777777" w:rsidR="000A0543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2.2.2 Oportunidades: </w:t>
            </w:r>
          </w:p>
          <w:p w14:paraId="09162B0F" w14:textId="563C1D0C" w:rsidR="001941FF" w:rsidRPr="00645319" w:rsidRDefault="001941FF" w:rsidP="00C5625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eastAsia="Times New Roman"/>
                <w:lang w:eastAsia="es-MX"/>
              </w:rPr>
            </w:pPr>
            <w:r w:rsidRPr="00645319">
              <w:rPr>
                <w:rFonts w:eastAsia="Times New Roman"/>
                <w:lang w:eastAsia="es-MX"/>
              </w:rPr>
              <w:t xml:space="preserve">Mantener el reforzamiento y creación de plazas comunitarias mediante el desarrollo de actividades </w:t>
            </w:r>
            <w:r w:rsidR="00FA6D67" w:rsidRPr="00645319">
              <w:rPr>
                <w:rFonts w:eastAsia="Times New Roman"/>
                <w:lang w:eastAsia="es-MX"/>
              </w:rPr>
              <w:t>de</w:t>
            </w:r>
            <w:r w:rsidRPr="00645319">
              <w:rPr>
                <w:rFonts w:eastAsia="Times New Roman"/>
                <w:lang w:eastAsia="es-MX"/>
              </w:rPr>
              <w:t xml:space="preserve"> promoción y difusión de los servicios educativos</w:t>
            </w:r>
            <w:r w:rsidR="00FA6D67" w:rsidRPr="00645319">
              <w:rPr>
                <w:rFonts w:eastAsia="Times New Roman"/>
                <w:lang w:eastAsia="es-MX"/>
              </w:rPr>
              <w:t>, para lograr que más jóvenes y adultos estudien su educación básica en esta modalidad.</w:t>
            </w:r>
          </w:p>
          <w:p w14:paraId="3D0C0A3C" w14:textId="4C2254E6" w:rsidR="00F46C22" w:rsidRPr="00E1388F" w:rsidRDefault="001941FF" w:rsidP="00E0297A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645319">
              <w:rPr>
                <w:rFonts w:eastAsia="Times New Roman"/>
                <w:lang w:eastAsia="es-MX"/>
              </w:rPr>
              <w:t>Mantener y ampliar la capacitación a las figuras solidarias</w:t>
            </w:r>
            <w:r w:rsidR="00E0297A" w:rsidRPr="00645319">
              <w:rPr>
                <w:rFonts w:eastAsia="Times New Roman"/>
                <w:lang w:eastAsia="es-MX"/>
              </w:rPr>
              <w:t xml:space="preserve"> que contribuya a</w:t>
            </w:r>
            <w:r w:rsidRPr="00645319">
              <w:rPr>
                <w:rFonts w:eastAsia="Times New Roman"/>
                <w:lang w:eastAsia="es-MX"/>
              </w:rPr>
              <w:t xml:space="preserve"> brindar un servicio educativo de</w:t>
            </w:r>
            <w:r w:rsidR="00DE6821" w:rsidRPr="00645319">
              <w:rPr>
                <w:rFonts w:eastAsia="Times New Roman"/>
                <w:lang w:eastAsia="es-MX"/>
              </w:rPr>
              <w:t xml:space="preserve"> mayor</w:t>
            </w:r>
            <w:r w:rsidRPr="00645319">
              <w:rPr>
                <w:rFonts w:eastAsia="Times New Roman"/>
                <w:lang w:eastAsia="es-MX"/>
              </w:rPr>
              <w:t xml:space="preserve"> calidad, así como reforzar las asesorías en módulos con mayor índice de reprobación, que permita incrementar la aprobación </w:t>
            </w:r>
            <w:r w:rsidRPr="001941FF">
              <w:rPr>
                <w:rFonts w:eastAsia="Times New Roman"/>
                <w:color w:val="000000"/>
                <w:lang w:eastAsia="es-MX"/>
              </w:rPr>
              <w:t>de los educandos.</w:t>
            </w:r>
          </w:p>
        </w:tc>
      </w:tr>
      <w:tr w:rsidR="000A0543" w:rsidRPr="00E1388F" w14:paraId="5ED6F707" w14:textId="77777777" w:rsidTr="006E0ADC">
        <w:trPr>
          <w:trHeight w:val="555"/>
          <w:tblCellSpacing w:w="20" w:type="dxa"/>
        </w:trPr>
        <w:tc>
          <w:tcPr>
            <w:tcW w:w="10465" w:type="dxa"/>
            <w:shd w:val="clear" w:color="000000" w:fill="FFFFFF"/>
            <w:noWrap/>
          </w:tcPr>
          <w:p w14:paraId="7475DAAE" w14:textId="77777777" w:rsidR="000A0543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2.2.3 Debilidades:</w:t>
            </w:r>
          </w:p>
          <w:p w14:paraId="68534DA7" w14:textId="394E4418" w:rsidR="00F46C22" w:rsidRPr="00E1388F" w:rsidRDefault="001941FF" w:rsidP="006E0AD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eastAsia="Times New Roman"/>
                <w:color w:val="000000"/>
                <w:lang w:eastAsia="es-MX"/>
              </w:rPr>
            </w:pPr>
            <w:r w:rsidRPr="001941FF">
              <w:rPr>
                <w:rFonts w:eastAsia="Times New Roman"/>
                <w:color w:val="000000"/>
                <w:lang w:eastAsia="es-MX"/>
              </w:rPr>
              <w:t>No recibir el material didáctico a tiempo retrasa las acciones y el avance académico de los educandos.</w:t>
            </w:r>
          </w:p>
        </w:tc>
      </w:tr>
      <w:tr w:rsidR="000A0543" w:rsidRPr="00E1388F" w14:paraId="7BE67B1A" w14:textId="77777777" w:rsidTr="006E0ADC">
        <w:trPr>
          <w:trHeight w:val="660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77CFAEF1" w14:textId="77777777" w:rsidR="00F46C22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2.2.4 Amenazas:</w:t>
            </w:r>
          </w:p>
          <w:p w14:paraId="757746DD" w14:textId="6481A841" w:rsidR="000A0543" w:rsidRPr="00E1388F" w:rsidRDefault="001941FF" w:rsidP="00AA78BE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eastAsia="Times New Roman"/>
                <w:color w:val="000000"/>
                <w:lang w:eastAsia="es-MX"/>
              </w:rPr>
            </w:pPr>
            <w:r w:rsidRPr="00645319">
              <w:rPr>
                <w:rFonts w:eastAsia="Times New Roman"/>
                <w:lang w:eastAsia="es-MX"/>
              </w:rPr>
              <w:t>In</w:t>
            </w:r>
            <w:r w:rsidR="00A420BE" w:rsidRPr="00645319">
              <w:rPr>
                <w:rFonts w:eastAsia="Times New Roman"/>
                <w:lang w:eastAsia="es-MX"/>
              </w:rPr>
              <w:t xml:space="preserve">cremento en el rezago educativo ya sea por </w:t>
            </w:r>
            <w:r w:rsidRPr="00645319">
              <w:rPr>
                <w:rFonts w:eastAsia="Times New Roman"/>
                <w:lang w:eastAsia="es-MX"/>
              </w:rPr>
              <w:t xml:space="preserve">diversos factores </w:t>
            </w:r>
            <w:r w:rsidR="00AA78BE" w:rsidRPr="00645319">
              <w:rPr>
                <w:rFonts w:eastAsia="Times New Roman"/>
                <w:lang w:eastAsia="es-MX"/>
              </w:rPr>
              <w:t>socioeconómicos</w:t>
            </w:r>
            <w:r w:rsidR="00A420BE" w:rsidRPr="00645319">
              <w:rPr>
                <w:rFonts w:eastAsia="Times New Roman"/>
                <w:lang w:eastAsia="es-MX"/>
              </w:rPr>
              <w:t>,</w:t>
            </w:r>
            <w:r w:rsidRPr="00645319">
              <w:rPr>
                <w:rFonts w:eastAsia="Times New Roman"/>
                <w:lang w:eastAsia="es-MX"/>
              </w:rPr>
              <w:t xml:space="preserve"> que ocasionan que las personas abandonen sus estudios.</w:t>
            </w:r>
          </w:p>
        </w:tc>
      </w:tr>
    </w:tbl>
    <w:p w14:paraId="540D8729" w14:textId="77777777" w:rsidR="00EC63B6" w:rsidRPr="00EC3A9F" w:rsidRDefault="00EC63B6" w:rsidP="002272AA">
      <w:pPr>
        <w:spacing w:after="0"/>
        <w:rPr>
          <w:sz w:val="6"/>
        </w:rPr>
      </w:pPr>
    </w:p>
    <w:tbl>
      <w:tblPr>
        <w:tblW w:w="10545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5"/>
      </w:tblGrid>
      <w:tr w:rsidR="00690BCC" w:rsidRPr="00E1388F" w14:paraId="77973CC2" w14:textId="77777777" w:rsidTr="006E0ADC">
        <w:trPr>
          <w:trHeight w:val="300"/>
          <w:tblCellSpacing w:w="20" w:type="dxa"/>
        </w:trPr>
        <w:tc>
          <w:tcPr>
            <w:tcW w:w="10465" w:type="dxa"/>
            <w:shd w:val="clear" w:color="000000" w:fill="8B1D31"/>
            <w:noWrap/>
            <w:vAlign w:val="center"/>
            <w:hideMark/>
          </w:tcPr>
          <w:p w14:paraId="26070D55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3. Conclusiones y Recomendaciones de la Evaluación</w:t>
            </w:r>
          </w:p>
        </w:tc>
      </w:tr>
      <w:tr w:rsidR="00690BCC" w:rsidRPr="00E1388F" w14:paraId="18410B4A" w14:textId="77777777" w:rsidTr="006E0ADC">
        <w:trPr>
          <w:trHeight w:val="405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0002D83D" w14:textId="77777777" w:rsidR="00FB2BF7" w:rsidRPr="00645319" w:rsidRDefault="00E1388F" w:rsidP="0063439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645319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3.1 Describir </w:t>
            </w:r>
            <w:r w:rsidR="00BA4A59" w:rsidRPr="00645319">
              <w:rPr>
                <w:rFonts w:eastAsia="Times New Roman"/>
                <w:b/>
                <w:bCs/>
                <w:color w:val="000000"/>
                <w:lang w:eastAsia="es-MX"/>
              </w:rPr>
              <w:t>b</w:t>
            </w:r>
            <w:r w:rsidRPr="00645319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revemente las </w:t>
            </w:r>
            <w:r w:rsidR="00BA4A59" w:rsidRPr="00645319">
              <w:rPr>
                <w:rFonts w:eastAsia="Times New Roman"/>
                <w:b/>
                <w:bCs/>
                <w:color w:val="000000"/>
                <w:lang w:eastAsia="es-MX"/>
              </w:rPr>
              <w:t>c</w:t>
            </w:r>
            <w:r w:rsidRPr="00645319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onclusiones de la </w:t>
            </w:r>
            <w:r w:rsidR="00BA4A59" w:rsidRPr="00645319">
              <w:rPr>
                <w:rFonts w:eastAsia="Times New Roman"/>
                <w:b/>
                <w:bCs/>
                <w:color w:val="000000"/>
                <w:lang w:eastAsia="es-MX"/>
              </w:rPr>
              <w:t>e</w:t>
            </w:r>
            <w:r w:rsidRPr="00645319">
              <w:rPr>
                <w:rFonts w:eastAsia="Times New Roman"/>
                <w:b/>
                <w:bCs/>
                <w:color w:val="000000"/>
                <w:lang w:eastAsia="es-MX"/>
              </w:rPr>
              <w:t>valuación:</w:t>
            </w:r>
          </w:p>
          <w:p w14:paraId="082E5615" w14:textId="77777777" w:rsidR="00FB2BF7" w:rsidRPr="00EC3A9F" w:rsidRDefault="00FB2BF7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6"/>
                <w:szCs w:val="16"/>
                <w:lang w:eastAsia="es-MX"/>
              </w:rPr>
            </w:pPr>
          </w:p>
          <w:p w14:paraId="74A926C3" w14:textId="36BB421E" w:rsidR="00FB2BF7" w:rsidRPr="00E1388F" w:rsidRDefault="00C56251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C56251">
              <w:rPr>
                <w:rFonts w:eastAsia="Times New Roman"/>
                <w:color w:val="000000"/>
                <w:lang w:eastAsia="es-MX"/>
              </w:rPr>
              <w:t>Durante el año 2019 el ISEA logro un incremento en su captación de personas mayores de 15 años que se incorporan a sus programas educativos con la finalidad de superar el rezago educativo en el estado, captando el 1.5% a diferencia del 1.44% que obtuvo en el 2018, esto representa el 0.453% del 30.2% de personas que se encuentran en rezago educativo en el estado solo en el 2019.</w:t>
            </w:r>
          </w:p>
        </w:tc>
      </w:tr>
      <w:tr w:rsidR="00690BCC" w:rsidRPr="00E1388F" w14:paraId="3FA0E375" w14:textId="77777777" w:rsidTr="006E0ADC">
        <w:trPr>
          <w:trHeight w:val="69"/>
          <w:tblCellSpacing w:w="20" w:type="dxa"/>
        </w:trPr>
        <w:tc>
          <w:tcPr>
            <w:tcW w:w="10465" w:type="dxa"/>
            <w:shd w:val="clear" w:color="auto" w:fill="D9D9D9" w:themeFill="background1" w:themeFillShade="D9"/>
            <w:noWrap/>
            <w:hideMark/>
          </w:tcPr>
          <w:p w14:paraId="125AC76A" w14:textId="77777777" w:rsidR="00E1388F" w:rsidRPr="002272AA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272AA">
              <w:rPr>
                <w:rFonts w:eastAsia="Times New Roman"/>
                <w:b/>
                <w:color w:val="000000"/>
                <w:lang w:eastAsia="es-MX"/>
              </w:rPr>
              <w:t>3.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2 Describir las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r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ecomendaciones de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a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cuerdo a su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r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elevancia:</w:t>
            </w:r>
          </w:p>
        </w:tc>
      </w:tr>
      <w:tr w:rsidR="00690BCC" w:rsidRPr="00E1388F" w14:paraId="1056E521" w14:textId="77777777" w:rsidTr="006E0ADC">
        <w:trPr>
          <w:trHeight w:val="465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1A42D0F4" w14:textId="694CDD75" w:rsidR="00E1388F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1:</w:t>
            </w:r>
            <w:r w:rsidR="00C56251" w:rsidRPr="00C56251">
              <w:t xml:space="preserve"> </w:t>
            </w:r>
            <w:r w:rsidR="00C56251" w:rsidRPr="00C56251">
              <w:rPr>
                <w:rFonts w:eastAsia="Times New Roman"/>
                <w:color w:val="000000"/>
                <w:lang w:eastAsia="es-MX"/>
              </w:rPr>
              <w:t>Buscar una forma más didáctica de presentación de exámenes en línea aplicados a adultos mayores y así buscar aumentar el índice de exámenes aplicados.</w:t>
            </w:r>
          </w:p>
        </w:tc>
      </w:tr>
      <w:tr w:rsidR="00690BCC" w:rsidRPr="00E1388F" w14:paraId="656D239B" w14:textId="77777777" w:rsidTr="006E0ADC">
        <w:trPr>
          <w:trHeight w:val="406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70A0D736" w14:textId="462F085A" w:rsidR="00E1388F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2:</w:t>
            </w:r>
            <w:r w:rsidR="00C56251" w:rsidRPr="00C56251">
              <w:t xml:space="preserve"> </w:t>
            </w:r>
            <w:r w:rsidR="00C56251" w:rsidRPr="00C56251">
              <w:rPr>
                <w:rFonts w:eastAsia="Times New Roman"/>
                <w:color w:val="000000"/>
                <w:lang w:eastAsia="es-MX"/>
              </w:rPr>
              <w:t>Mejorar y o en su caso implementar mecanismos que contribuyan a reducir el analfabetismo en el estado.</w:t>
            </w:r>
          </w:p>
        </w:tc>
      </w:tr>
    </w:tbl>
    <w:p w14:paraId="3E95B08A" w14:textId="77777777" w:rsidR="000A0543" w:rsidRPr="00EC3A9F" w:rsidRDefault="000A0543">
      <w:pPr>
        <w:spacing w:after="0" w:line="240" w:lineRule="auto"/>
        <w:rPr>
          <w:sz w:val="8"/>
        </w:rPr>
      </w:pPr>
    </w:p>
    <w:tbl>
      <w:tblPr>
        <w:tblW w:w="10545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5"/>
      </w:tblGrid>
      <w:tr w:rsidR="00690BCC" w:rsidRPr="00E1388F" w14:paraId="21F0B19D" w14:textId="77777777" w:rsidTr="006E0ADC">
        <w:trPr>
          <w:trHeight w:val="300"/>
          <w:tblCellSpacing w:w="20" w:type="dxa"/>
        </w:trPr>
        <w:tc>
          <w:tcPr>
            <w:tcW w:w="10465" w:type="dxa"/>
            <w:shd w:val="clear" w:color="000000" w:fill="8B1D31"/>
            <w:noWrap/>
            <w:vAlign w:val="center"/>
            <w:hideMark/>
          </w:tcPr>
          <w:p w14:paraId="6426073E" w14:textId="77777777" w:rsidR="00E1388F" w:rsidRPr="00E1388F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E1388F">
              <w:rPr>
                <w:rFonts w:eastAsia="Times New Roman"/>
                <w:b/>
                <w:color w:val="FFFFFF"/>
                <w:lang w:eastAsia="es-MX"/>
              </w:rPr>
              <w:lastRenderedPageBreak/>
              <w:t>4. Datos de la Instancia Evaluadora</w:t>
            </w:r>
          </w:p>
        </w:tc>
      </w:tr>
      <w:tr w:rsidR="00BA4A59" w:rsidRPr="00E1388F" w14:paraId="40E94E9D" w14:textId="77777777" w:rsidTr="006E0ADC">
        <w:trPr>
          <w:trHeight w:val="397"/>
          <w:tblCellSpacing w:w="20" w:type="dxa"/>
        </w:trPr>
        <w:tc>
          <w:tcPr>
            <w:tcW w:w="10465" w:type="dxa"/>
            <w:shd w:val="clear" w:color="000000" w:fill="FFFFFF"/>
            <w:noWrap/>
            <w:vAlign w:val="center"/>
            <w:hideMark/>
          </w:tcPr>
          <w:p w14:paraId="29DA9094" w14:textId="2E3A0AEA" w:rsidR="00BA4A59" w:rsidRPr="00E1388F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4.1 Nombre del Coordinador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C56251" w:rsidRPr="00C56251">
              <w:rPr>
                <w:rFonts w:eastAsia="Times New Roman"/>
                <w:color w:val="000000"/>
                <w:lang w:eastAsia="es-MX"/>
              </w:rPr>
              <w:t>José Luis Alvarado Medrano</w:t>
            </w:r>
            <w:r w:rsidR="00082BC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BA4A59" w:rsidRPr="00E1388F" w14:paraId="455B21B2" w14:textId="77777777" w:rsidTr="006E0ADC">
        <w:trPr>
          <w:trHeight w:val="397"/>
          <w:tblCellSpacing w:w="20" w:type="dxa"/>
        </w:trPr>
        <w:tc>
          <w:tcPr>
            <w:tcW w:w="10465" w:type="dxa"/>
            <w:shd w:val="clear" w:color="000000" w:fill="FFFFFF"/>
            <w:noWrap/>
            <w:vAlign w:val="center"/>
            <w:hideMark/>
          </w:tcPr>
          <w:p w14:paraId="5179B680" w14:textId="68A73D1B" w:rsidR="00BA4A59" w:rsidRPr="00082BC3" w:rsidRDefault="00BA4A59" w:rsidP="00D71101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4.2 Cargo: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C56251" w:rsidRPr="00C56251">
              <w:rPr>
                <w:rFonts w:eastAsia="Times New Roman"/>
                <w:bCs/>
                <w:color w:val="000000"/>
                <w:lang w:eastAsia="es-MX"/>
              </w:rPr>
              <w:t>Jefe de Dep</w:t>
            </w:r>
            <w:r w:rsidR="0084799B">
              <w:rPr>
                <w:rFonts w:eastAsia="Times New Roman"/>
                <w:bCs/>
                <w:color w:val="000000"/>
                <w:lang w:eastAsia="es-MX"/>
              </w:rPr>
              <w:t>artamen</w:t>
            </w:r>
            <w:r w:rsidR="00C56251" w:rsidRPr="00C56251">
              <w:rPr>
                <w:rFonts w:eastAsia="Times New Roman"/>
                <w:bCs/>
                <w:color w:val="000000"/>
                <w:lang w:eastAsia="es-MX"/>
              </w:rPr>
              <w:t>to de Planeación y Seg</w:t>
            </w:r>
            <w:r w:rsidR="0084799B">
              <w:rPr>
                <w:rFonts w:eastAsia="Times New Roman"/>
                <w:bCs/>
                <w:color w:val="000000"/>
                <w:lang w:eastAsia="es-MX"/>
              </w:rPr>
              <w:t>uimiento</w:t>
            </w:r>
            <w:r w:rsidR="00C56251" w:rsidRPr="00C56251">
              <w:rPr>
                <w:rFonts w:eastAsia="Times New Roman"/>
                <w:bCs/>
                <w:color w:val="000000"/>
                <w:lang w:eastAsia="es-MX"/>
              </w:rPr>
              <w:t xml:space="preserve"> Operativo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.</w:t>
            </w:r>
          </w:p>
        </w:tc>
      </w:tr>
      <w:tr w:rsidR="00BA4A59" w:rsidRPr="00E1388F" w14:paraId="2E8F3CF6" w14:textId="77777777" w:rsidTr="006E0ADC">
        <w:trPr>
          <w:trHeight w:val="397"/>
          <w:tblCellSpacing w:w="20" w:type="dxa"/>
        </w:trPr>
        <w:tc>
          <w:tcPr>
            <w:tcW w:w="10465" w:type="dxa"/>
            <w:shd w:val="clear" w:color="000000" w:fill="FFFFFF"/>
            <w:noWrap/>
            <w:vAlign w:val="center"/>
            <w:hideMark/>
          </w:tcPr>
          <w:p w14:paraId="5428714B" w14:textId="756871C6" w:rsidR="00BA4A59" w:rsidRPr="00082BC3" w:rsidRDefault="00BA4A59" w:rsidP="00D71101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4.3 Institución a la que Pertenece: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84799B" w:rsidRPr="0084799B">
              <w:rPr>
                <w:rFonts w:eastAsia="Times New Roman"/>
                <w:bCs/>
                <w:color w:val="000000"/>
                <w:lang w:eastAsia="es-MX"/>
              </w:rPr>
              <w:t>Instituto Sinaloense para la Educación de los Adultos (ISEA)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.</w:t>
            </w:r>
          </w:p>
        </w:tc>
      </w:tr>
      <w:tr w:rsidR="00BA4A59" w:rsidRPr="00E1388F" w14:paraId="6F9773D8" w14:textId="77777777" w:rsidTr="007B7ADC">
        <w:trPr>
          <w:trHeight w:val="397"/>
          <w:tblCellSpacing w:w="20" w:type="dxa"/>
        </w:trPr>
        <w:tc>
          <w:tcPr>
            <w:tcW w:w="10465" w:type="dxa"/>
            <w:shd w:val="clear" w:color="auto" w:fill="auto"/>
            <w:noWrap/>
            <w:vAlign w:val="center"/>
            <w:hideMark/>
          </w:tcPr>
          <w:p w14:paraId="482286BA" w14:textId="5DCE9A73" w:rsidR="00BA4A59" w:rsidRPr="007B7ADC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7B7ADC">
              <w:rPr>
                <w:rFonts w:eastAsia="Times New Roman"/>
                <w:b/>
                <w:color w:val="000000"/>
                <w:lang w:eastAsia="es-MX"/>
              </w:rPr>
              <w:t>4.4 Principales Colaboradores:</w:t>
            </w:r>
            <w:r w:rsidR="00DA738F" w:rsidRPr="007B7ADC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DA738F" w:rsidRPr="007B7ADC">
              <w:rPr>
                <w:rFonts w:eastAsia="Times New Roman"/>
                <w:bCs/>
                <w:color w:val="000000"/>
                <w:lang w:eastAsia="es-MX"/>
              </w:rPr>
              <w:t>Depto. de Acreditación, Depto. de Servicios Educativos, Coordinación Regional y Unidad de la Calidad.</w:t>
            </w:r>
          </w:p>
        </w:tc>
      </w:tr>
      <w:tr w:rsidR="00BA4A59" w:rsidRPr="00E1388F" w14:paraId="710CED2A" w14:textId="77777777" w:rsidTr="006E0ADC">
        <w:trPr>
          <w:trHeight w:val="397"/>
          <w:tblCellSpacing w:w="20" w:type="dxa"/>
        </w:trPr>
        <w:tc>
          <w:tcPr>
            <w:tcW w:w="10465" w:type="dxa"/>
            <w:shd w:val="clear" w:color="000000" w:fill="FFFFFF"/>
            <w:noWrap/>
            <w:vAlign w:val="center"/>
            <w:hideMark/>
          </w:tcPr>
          <w:p w14:paraId="2044235A" w14:textId="7FC3D9E0" w:rsidR="00BA4A59" w:rsidRPr="00E1388F" w:rsidRDefault="00BA4A59" w:rsidP="00D71101">
            <w:pPr>
              <w:spacing w:after="0" w:line="240" w:lineRule="auto"/>
              <w:ind w:right="-212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4.5 Correo Electrónico del Coordinador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84799B" w:rsidRPr="0084799B">
              <w:rPr>
                <w:rFonts w:eastAsia="Times New Roman"/>
                <w:bCs/>
                <w:color w:val="000000"/>
                <w:lang w:eastAsia="es-MX"/>
              </w:rPr>
              <w:t>sin_plan@inea.gob.mx</w:t>
            </w:r>
          </w:p>
        </w:tc>
      </w:tr>
      <w:tr w:rsidR="00BA4A59" w:rsidRPr="00E1388F" w14:paraId="6B76A1D2" w14:textId="77777777" w:rsidTr="006E0ADC">
        <w:trPr>
          <w:trHeight w:val="397"/>
          <w:tblCellSpacing w:w="20" w:type="dxa"/>
        </w:trPr>
        <w:tc>
          <w:tcPr>
            <w:tcW w:w="10465" w:type="dxa"/>
            <w:shd w:val="clear" w:color="000000" w:fill="FFFFFF"/>
            <w:noWrap/>
            <w:vAlign w:val="center"/>
            <w:hideMark/>
          </w:tcPr>
          <w:p w14:paraId="17F34A50" w14:textId="5A78222B" w:rsidR="00BA4A59" w:rsidRPr="00E1388F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4.6 Teléfono (</w:t>
            </w:r>
            <w:r w:rsidR="00D71101">
              <w:rPr>
                <w:rFonts w:eastAsia="Times New Roman"/>
                <w:b/>
                <w:color w:val="000000"/>
                <w:lang w:eastAsia="es-MX"/>
              </w:rPr>
              <w:t>667)</w:t>
            </w:r>
            <w:r w:rsidR="0084799B">
              <w:rPr>
                <w:rFonts w:eastAsia="Times New Roman"/>
                <w:bCs/>
                <w:color w:val="000000"/>
                <w:lang w:eastAsia="es-MX"/>
              </w:rPr>
              <w:t xml:space="preserve"> </w:t>
            </w:r>
            <w:r w:rsidR="0084799B" w:rsidRPr="0084799B">
              <w:rPr>
                <w:rFonts w:eastAsia="Times New Roman"/>
                <w:bCs/>
                <w:color w:val="000000"/>
                <w:lang w:eastAsia="es-MX"/>
              </w:rPr>
              <w:t xml:space="preserve">715-03-32 </w:t>
            </w:r>
            <w:r w:rsidR="004512E5">
              <w:rPr>
                <w:rFonts w:eastAsia="Times New Roman"/>
                <w:color w:val="000000"/>
                <w:lang w:eastAsia="es-MX"/>
              </w:rPr>
              <w:t>ext.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: </w:t>
            </w:r>
            <w:r w:rsidR="0084799B">
              <w:rPr>
                <w:rFonts w:eastAsia="Times New Roman"/>
                <w:color w:val="000000"/>
                <w:lang w:eastAsia="es-MX"/>
              </w:rPr>
              <w:t>510</w:t>
            </w:r>
          </w:p>
        </w:tc>
      </w:tr>
    </w:tbl>
    <w:p w14:paraId="412AEF6C" w14:textId="77777777" w:rsidR="00EC63B6" w:rsidRPr="00EC3A9F" w:rsidRDefault="00EC63B6" w:rsidP="002272AA">
      <w:pPr>
        <w:spacing w:after="0"/>
        <w:rPr>
          <w:sz w:val="8"/>
        </w:rPr>
      </w:pPr>
    </w:p>
    <w:tbl>
      <w:tblPr>
        <w:tblW w:w="10403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758"/>
        <w:gridCol w:w="2639"/>
        <w:gridCol w:w="246"/>
        <w:gridCol w:w="579"/>
        <w:gridCol w:w="1403"/>
        <w:gridCol w:w="284"/>
        <w:gridCol w:w="2904"/>
      </w:tblGrid>
      <w:tr w:rsidR="00690BCC" w:rsidRPr="00BA4A59" w14:paraId="728D9166" w14:textId="77777777" w:rsidTr="007B7ADC">
        <w:trPr>
          <w:trHeight w:val="312"/>
          <w:tblCellSpacing w:w="20" w:type="dxa"/>
        </w:trPr>
        <w:tc>
          <w:tcPr>
            <w:tcW w:w="10323" w:type="dxa"/>
            <w:gridSpan w:val="8"/>
            <w:shd w:val="clear" w:color="000000" w:fill="8B1D31"/>
            <w:noWrap/>
            <w:vAlign w:val="center"/>
            <w:hideMark/>
          </w:tcPr>
          <w:p w14:paraId="272FDF13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5. Identificación del (os) Programa(S)</w:t>
            </w:r>
          </w:p>
        </w:tc>
      </w:tr>
      <w:tr w:rsidR="0091170D" w:rsidRPr="00E1388F" w14:paraId="49A0E828" w14:textId="77777777" w:rsidTr="007B7ADC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000000" w:fill="FFFFFF"/>
            <w:noWrap/>
            <w:vAlign w:val="center"/>
            <w:hideMark/>
          </w:tcPr>
          <w:p w14:paraId="3C0FEA6B" w14:textId="5D1C48FC" w:rsidR="0091170D" w:rsidRPr="00E1388F" w:rsidRDefault="0091170D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5.1 Nombre del (os) Programa(s) Evaluado(s):</w:t>
            </w:r>
            <w:r w:rsidR="0084799B">
              <w:t xml:space="preserve"> </w:t>
            </w:r>
            <w:r w:rsidR="0084799B" w:rsidRPr="0084799B">
              <w:rPr>
                <w:rFonts w:eastAsia="Times New Roman"/>
                <w:color w:val="000000"/>
                <w:lang w:eastAsia="es-MX"/>
              </w:rPr>
              <w:t>Servicios Descentralizados para la Educación de los Adultos</w:t>
            </w:r>
            <w:r w:rsidR="00082BC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91170D" w:rsidRPr="00E1388F" w14:paraId="707384BD" w14:textId="77777777" w:rsidTr="007B7ADC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000000" w:fill="FFFFFF"/>
            <w:noWrap/>
            <w:vAlign w:val="center"/>
            <w:hideMark/>
          </w:tcPr>
          <w:p w14:paraId="3CF725D7" w14:textId="2CF05CE1" w:rsidR="0091170D" w:rsidRPr="003E6E57" w:rsidRDefault="0091170D" w:rsidP="00D71101">
            <w:pPr>
              <w:spacing w:after="0" w:line="240" w:lineRule="auto"/>
              <w:rPr>
                <w:rFonts w:cstheme="minorHAnsi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5.2 Siglas: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84799B" w:rsidRPr="0084799B">
              <w:rPr>
                <w:rFonts w:eastAsia="Times New Roman"/>
                <w:bCs/>
                <w:color w:val="000000"/>
                <w:lang w:eastAsia="es-MX"/>
              </w:rPr>
              <w:t>SDEA</w:t>
            </w:r>
            <w:r w:rsidR="00082BC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91170D" w:rsidRPr="00E1388F" w14:paraId="2B5AF469" w14:textId="77777777" w:rsidTr="007B7ADC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000000" w:fill="FFFFFF"/>
            <w:noWrap/>
            <w:vAlign w:val="center"/>
            <w:hideMark/>
          </w:tcPr>
          <w:p w14:paraId="1AB84C7C" w14:textId="5B6865E5" w:rsidR="0091170D" w:rsidRPr="00E1388F" w:rsidRDefault="0091170D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5.3 Ente Público Coordinador del (os) Programa(s):</w:t>
            </w:r>
            <w:r w:rsidR="0084799B">
              <w:t xml:space="preserve"> </w:t>
            </w:r>
            <w:r w:rsidR="0084799B" w:rsidRPr="0084799B">
              <w:rPr>
                <w:rFonts w:eastAsia="Times New Roman"/>
                <w:bCs/>
                <w:color w:val="000000"/>
                <w:lang w:eastAsia="es-MX"/>
              </w:rPr>
              <w:t>Instituto Sinaloense para la Educación de los Adultos (ISEA)</w:t>
            </w:r>
          </w:p>
        </w:tc>
      </w:tr>
      <w:tr w:rsidR="00690BCC" w:rsidRPr="00E1388F" w14:paraId="6B3298E7" w14:textId="77777777" w:rsidTr="007B7ADC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auto" w:fill="auto"/>
            <w:noWrap/>
            <w:vAlign w:val="center"/>
            <w:hideMark/>
          </w:tcPr>
          <w:p w14:paraId="5B5F1EEF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5.4 Poder Público al que Pertenece(n) el(los) Programa(s):</w:t>
            </w:r>
            <w:r w:rsidR="003E6E57">
              <w:rPr>
                <w:rFonts w:eastAsia="Times New Roman"/>
                <w:color w:val="000000"/>
                <w:lang w:eastAsia="es-MX"/>
              </w:rPr>
              <w:t xml:space="preserve"> Seleccionar con una (X),  el correspondiente</w:t>
            </w:r>
          </w:p>
        </w:tc>
      </w:tr>
      <w:tr w:rsidR="00E81EF2" w:rsidRPr="00E1388F" w14:paraId="56EB39D6" w14:textId="77777777" w:rsidTr="007B7ADC">
        <w:trPr>
          <w:trHeight w:val="406"/>
          <w:tblCellSpacing w:w="20" w:type="dxa"/>
        </w:trPr>
        <w:tc>
          <w:tcPr>
            <w:tcW w:w="2391" w:type="dxa"/>
            <w:gridSpan w:val="2"/>
            <w:shd w:val="clear" w:color="auto" w:fill="auto"/>
            <w:noWrap/>
            <w:vAlign w:val="center"/>
            <w:hideMark/>
          </w:tcPr>
          <w:p w14:paraId="0F20CD35" w14:textId="5A081E2B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Ejecutivo: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DA738F">
              <w:rPr>
                <w:rFonts w:eastAsia="Times New Roman"/>
                <w:color w:val="000000"/>
                <w:lang w:eastAsia="es-MX"/>
              </w:rPr>
              <w:t>X</w:t>
            </w:r>
          </w:p>
        </w:tc>
        <w:tc>
          <w:tcPr>
            <w:tcW w:w="2815" w:type="dxa"/>
            <w:gridSpan w:val="2"/>
            <w:shd w:val="clear" w:color="auto" w:fill="auto"/>
            <w:noWrap/>
            <w:vAlign w:val="center"/>
            <w:hideMark/>
          </w:tcPr>
          <w:p w14:paraId="786D2452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Legislativo: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center"/>
            <w:hideMark/>
          </w:tcPr>
          <w:p w14:paraId="0E17553A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Judicial:</w:t>
            </w:r>
          </w:p>
        </w:tc>
        <w:tc>
          <w:tcPr>
            <w:tcW w:w="3096" w:type="dxa"/>
            <w:gridSpan w:val="2"/>
            <w:shd w:val="clear" w:color="auto" w:fill="auto"/>
            <w:noWrap/>
            <w:vAlign w:val="center"/>
            <w:hideMark/>
          </w:tcPr>
          <w:p w14:paraId="302D5A3A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Ente Autónomo:</w:t>
            </w:r>
          </w:p>
        </w:tc>
      </w:tr>
      <w:tr w:rsidR="00E42310" w:rsidRPr="00C30C58" w14:paraId="160F6F4D" w14:textId="77777777" w:rsidTr="007B7ADC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auto" w:fill="F2F2F2" w:themeFill="background1" w:themeFillShade="F2"/>
            <w:noWrap/>
            <w:vAlign w:val="center"/>
          </w:tcPr>
          <w:p w14:paraId="1916AD9F" w14:textId="77777777" w:rsidR="00C30C58" w:rsidRPr="00C30C58" w:rsidRDefault="00C30C58" w:rsidP="00C30C58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5.5 Ámbito Gubernamental al que Pertenece(n) el(los) Programas): </w:t>
            </w:r>
            <w:r w:rsidRPr="00C30C58">
              <w:rPr>
                <w:rFonts w:eastAsia="Times New Roman"/>
                <w:b/>
                <w:color w:val="000000"/>
                <w:lang w:eastAsia="es-MX"/>
              </w:rPr>
              <w:t>Seleccionar con una (X), el correspondiente</w:t>
            </w:r>
          </w:p>
        </w:tc>
      </w:tr>
      <w:tr w:rsidR="00E81EF2" w:rsidRPr="00E1388F" w14:paraId="650384AA" w14:textId="77777777" w:rsidTr="009C7D89">
        <w:trPr>
          <w:trHeight w:val="406"/>
          <w:tblCellSpacing w:w="20" w:type="dxa"/>
        </w:trPr>
        <w:tc>
          <w:tcPr>
            <w:tcW w:w="5002" w:type="dxa"/>
            <w:gridSpan w:val="3"/>
            <w:shd w:val="clear" w:color="auto" w:fill="auto"/>
            <w:noWrap/>
            <w:vAlign w:val="center"/>
          </w:tcPr>
          <w:p w14:paraId="692D9BD6" w14:textId="77777777" w:rsidR="00C30C58" w:rsidRPr="00E1388F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Federal:</w:t>
            </w:r>
          </w:p>
        </w:tc>
        <w:tc>
          <w:tcPr>
            <w:tcW w:w="2145" w:type="dxa"/>
            <w:gridSpan w:val="3"/>
            <w:shd w:val="clear" w:color="auto" w:fill="auto"/>
            <w:noWrap/>
            <w:vAlign w:val="center"/>
          </w:tcPr>
          <w:p w14:paraId="15C049CB" w14:textId="6E3D1EB7" w:rsidR="00C30C58" w:rsidRPr="00E1388F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Estatal:</w:t>
            </w:r>
            <w:r w:rsidR="00DA738F">
              <w:rPr>
                <w:rFonts w:eastAsia="Times New Roman"/>
                <w:color w:val="000000"/>
                <w:lang w:eastAsia="es-MX"/>
              </w:rPr>
              <w:t xml:space="preserve"> X</w:t>
            </w:r>
          </w:p>
        </w:tc>
        <w:tc>
          <w:tcPr>
            <w:tcW w:w="3096" w:type="dxa"/>
            <w:gridSpan w:val="2"/>
            <w:shd w:val="clear" w:color="auto" w:fill="auto"/>
            <w:noWrap/>
            <w:vAlign w:val="center"/>
          </w:tcPr>
          <w:p w14:paraId="0CDBBD8D" w14:textId="77777777" w:rsidR="00C30C58" w:rsidRPr="00E1388F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Local:</w:t>
            </w:r>
          </w:p>
        </w:tc>
      </w:tr>
      <w:tr w:rsidR="00C30C58" w:rsidRPr="009C7D89" w14:paraId="3AB4AAF4" w14:textId="77777777" w:rsidTr="009C7D89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auto" w:fill="F2F2F2" w:themeFill="background1" w:themeFillShade="F2"/>
            <w:noWrap/>
            <w:vAlign w:val="center"/>
          </w:tcPr>
          <w:p w14:paraId="1080DD40" w14:textId="46E5AE2A" w:rsidR="00C30C58" w:rsidRPr="009C7D89" w:rsidRDefault="00C30C58" w:rsidP="009C7D8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5.6 Nombre de la(s) Unidad(es) Administrativa(s) y de (los) titular(es) a cargo del (los) Programa(s): </w:t>
            </w:r>
          </w:p>
        </w:tc>
      </w:tr>
      <w:tr w:rsidR="00C30C58" w:rsidRPr="00E1388F" w14:paraId="07D48D18" w14:textId="77777777" w:rsidTr="009C7D89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auto" w:fill="auto"/>
            <w:noWrap/>
            <w:vAlign w:val="center"/>
          </w:tcPr>
          <w:p w14:paraId="21B71605" w14:textId="044ACE12" w:rsidR="00C30C58" w:rsidRPr="00E1388F" w:rsidRDefault="00C30C58" w:rsidP="00EC3A9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5.6.1 Nombre(s) de la(s) Unidad(es) Administrativa(s) a cargo de (los) Programa(s):</w:t>
            </w:r>
            <w:r w:rsidR="00EC3A9F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DA738F">
              <w:rPr>
                <w:rFonts w:eastAsia="Times New Roman"/>
                <w:color w:val="000000"/>
                <w:lang w:eastAsia="es-MX"/>
              </w:rPr>
              <w:t>Instituto Sinaloense para la Educación de los Adultos.</w:t>
            </w:r>
          </w:p>
        </w:tc>
      </w:tr>
      <w:tr w:rsidR="00C30C58" w:rsidRPr="00E1388F" w14:paraId="21465533" w14:textId="77777777" w:rsidTr="007B7ADC">
        <w:trPr>
          <w:trHeight w:val="406"/>
          <w:tblCellSpacing w:w="20" w:type="dxa"/>
        </w:trPr>
        <w:tc>
          <w:tcPr>
            <w:tcW w:w="10323" w:type="dxa"/>
            <w:gridSpan w:val="8"/>
            <w:shd w:val="clear" w:color="auto" w:fill="F2F2F2" w:themeFill="background1" w:themeFillShade="F2"/>
            <w:noWrap/>
            <w:vAlign w:val="center"/>
          </w:tcPr>
          <w:p w14:paraId="00358BF1" w14:textId="77777777" w:rsidR="00C30C58" w:rsidRPr="00E1388F" w:rsidRDefault="00E42310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5.6.2 Nombre(s) de (los) Titular (es) de la(s) Unidad(es) Administrativa(s) a Cargo de (los) Programa(s) (nombre completo, correo electrónico y teléfono con clave lada):</w:t>
            </w:r>
          </w:p>
        </w:tc>
      </w:tr>
      <w:tr w:rsidR="00E81EF2" w:rsidRPr="00E1388F" w14:paraId="76CA3ED4" w14:textId="77777777" w:rsidTr="004B0183">
        <w:trPr>
          <w:trHeight w:val="406"/>
          <w:tblCellSpacing w:w="20" w:type="dxa"/>
        </w:trPr>
        <w:tc>
          <w:tcPr>
            <w:tcW w:w="1633" w:type="dxa"/>
            <w:shd w:val="clear" w:color="auto" w:fill="auto"/>
            <w:noWrap/>
            <w:vAlign w:val="center"/>
          </w:tcPr>
          <w:p w14:paraId="223F454C" w14:textId="77777777" w:rsidR="00E42310" w:rsidRPr="00E1388F" w:rsidRDefault="00E42310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Nombre:</w:t>
            </w:r>
          </w:p>
        </w:tc>
        <w:tc>
          <w:tcPr>
            <w:tcW w:w="4139" w:type="dxa"/>
            <w:gridSpan w:val="4"/>
            <w:shd w:val="clear" w:color="auto" w:fill="auto"/>
            <w:noWrap/>
            <w:vAlign w:val="center"/>
          </w:tcPr>
          <w:p w14:paraId="70522636" w14:textId="5A875910" w:rsidR="00E42310" w:rsidRPr="00E1388F" w:rsidRDefault="00A07BDC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</w:t>
            </w:r>
            <w:r w:rsidR="009C7D89">
              <w:rPr>
                <w:rFonts w:eastAsia="Times New Roman"/>
                <w:color w:val="000000"/>
                <w:lang w:eastAsia="es-MX"/>
              </w:rPr>
              <w:t>ic. Mario Alfonso Valenzuela López</w:t>
            </w:r>
          </w:p>
        </w:tc>
        <w:tc>
          <w:tcPr>
            <w:tcW w:w="1617" w:type="dxa"/>
            <w:gridSpan w:val="2"/>
            <w:shd w:val="clear" w:color="auto" w:fill="auto"/>
            <w:noWrap/>
            <w:vAlign w:val="center"/>
          </w:tcPr>
          <w:p w14:paraId="1A90C8E6" w14:textId="77777777" w:rsidR="00E42310" w:rsidRPr="00E1388F" w:rsidRDefault="00E42310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Unidad Administrativa: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14:paraId="3F77ECF5" w14:textId="61F1FC4E" w:rsidR="00E42310" w:rsidRPr="00E1388F" w:rsidRDefault="00A07BDC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I</w:t>
            </w:r>
            <w:r w:rsidR="009C7D89">
              <w:rPr>
                <w:rFonts w:eastAsia="Times New Roman"/>
                <w:color w:val="000000"/>
                <w:lang w:eastAsia="es-MX"/>
              </w:rPr>
              <w:t>nstituto Sinaloense para la Educación de los Adultos</w:t>
            </w:r>
          </w:p>
        </w:tc>
      </w:tr>
      <w:tr w:rsidR="00E81EF2" w:rsidRPr="00802296" w14:paraId="1A82E96A" w14:textId="77777777" w:rsidTr="004B0183">
        <w:trPr>
          <w:trHeight w:val="406"/>
          <w:tblCellSpacing w:w="20" w:type="dxa"/>
        </w:trPr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14:paraId="47D94453" w14:textId="77777777" w:rsidR="00E42310" w:rsidRPr="00E1388F" w:rsidRDefault="00E42310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Correo Electrónico:</w:t>
            </w:r>
          </w:p>
        </w:tc>
        <w:tc>
          <w:tcPr>
            <w:tcW w:w="2815" w:type="dxa"/>
            <w:gridSpan w:val="2"/>
            <w:shd w:val="clear" w:color="auto" w:fill="auto"/>
            <w:noWrap/>
            <w:vAlign w:val="center"/>
          </w:tcPr>
          <w:p w14:paraId="751F00FC" w14:textId="5A7DA583" w:rsidR="00E42310" w:rsidRPr="00E1388F" w:rsidRDefault="00DA738F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mavalenzuela@inea.gob.mx</w:t>
            </w:r>
          </w:p>
        </w:tc>
        <w:tc>
          <w:tcPr>
            <w:tcW w:w="1901" w:type="dxa"/>
            <w:gridSpan w:val="2"/>
            <w:shd w:val="clear" w:color="auto" w:fill="auto"/>
            <w:noWrap/>
            <w:vAlign w:val="center"/>
          </w:tcPr>
          <w:p w14:paraId="4175C5C6" w14:textId="77777777" w:rsidR="00E42310" w:rsidRPr="00E1388F" w:rsidRDefault="00E42310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Teléfono con lada</w:t>
            </w:r>
          </w:p>
        </w:tc>
        <w:tc>
          <w:tcPr>
            <w:tcW w:w="3096" w:type="dxa"/>
            <w:gridSpan w:val="2"/>
            <w:shd w:val="clear" w:color="auto" w:fill="auto"/>
            <w:noWrap/>
            <w:vAlign w:val="center"/>
          </w:tcPr>
          <w:p w14:paraId="6DA05765" w14:textId="77777777" w:rsidR="00802296" w:rsidRPr="00802296" w:rsidRDefault="00802296" w:rsidP="00DA738F">
            <w:pPr>
              <w:jc w:val="center"/>
              <w:rPr>
                <w:rFonts w:ascii="Eras Medium ITC" w:hAnsi="Eras Medium ITC"/>
                <w:color w:val="000000"/>
                <w:sz w:val="6"/>
                <w:szCs w:val="20"/>
              </w:rPr>
            </w:pPr>
          </w:p>
          <w:p w14:paraId="5E310B14" w14:textId="0848D858" w:rsidR="00E42310" w:rsidRPr="00802296" w:rsidRDefault="00DA738F" w:rsidP="00DA738F">
            <w:pPr>
              <w:jc w:val="center"/>
              <w:rPr>
                <w:rFonts w:eastAsia="Times New Roman"/>
                <w:color w:val="000000"/>
                <w:lang w:eastAsia="es-MX"/>
              </w:rPr>
            </w:pPr>
            <w:r w:rsidRPr="00802296">
              <w:rPr>
                <w:rFonts w:ascii="Eras Medium ITC" w:hAnsi="Eras Medium ITC"/>
                <w:color w:val="000000"/>
                <w:sz w:val="20"/>
                <w:szCs w:val="20"/>
              </w:rPr>
              <w:t>Tels. (667</w:t>
            </w:r>
            <w:r w:rsidR="00EC3A9F" w:rsidRPr="00802296">
              <w:rPr>
                <w:rFonts w:ascii="Eras Medium ITC" w:hAnsi="Eras Medium ITC"/>
                <w:color w:val="000000"/>
                <w:sz w:val="20"/>
                <w:szCs w:val="20"/>
              </w:rPr>
              <w:t>) 713-9368 ,</w:t>
            </w:r>
            <w:r w:rsidRPr="00802296">
              <w:rPr>
                <w:rFonts w:ascii="Eras Medium ITC" w:hAnsi="Eras Medium ITC"/>
                <w:color w:val="000000"/>
                <w:sz w:val="20"/>
                <w:szCs w:val="20"/>
              </w:rPr>
              <w:t xml:space="preserve"> 715-3755.</w:t>
            </w:r>
          </w:p>
        </w:tc>
      </w:tr>
    </w:tbl>
    <w:p w14:paraId="04CAB5D2" w14:textId="272F8CC4" w:rsidR="00D71101" w:rsidRDefault="00D71101" w:rsidP="002272AA">
      <w:pPr>
        <w:spacing w:after="0"/>
      </w:pPr>
    </w:p>
    <w:p w14:paraId="66380023" w14:textId="77777777" w:rsidR="004B0183" w:rsidRDefault="004B0183" w:rsidP="002272AA">
      <w:pPr>
        <w:spacing w:after="0"/>
      </w:pPr>
    </w:p>
    <w:p w14:paraId="6FADEAF7" w14:textId="77777777" w:rsidR="00E42310" w:rsidRDefault="00E42310" w:rsidP="002272AA">
      <w:pPr>
        <w:spacing w:after="0"/>
      </w:pPr>
    </w:p>
    <w:tbl>
      <w:tblPr>
        <w:tblW w:w="10545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6120"/>
      </w:tblGrid>
      <w:tr w:rsidR="00690BCC" w:rsidRPr="0091170D" w14:paraId="10D2398B" w14:textId="77777777" w:rsidTr="004B0183">
        <w:trPr>
          <w:trHeight w:val="300"/>
          <w:tblCellSpacing w:w="20" w:type="dxa"/>
        </w:trPr>
        <w:tc>
          <w:tcPr>
            <w:tcW w:w="10465" w:type="dxa"/>
            <w:gridSpan w:val="2"/>
            <w:shd w:val="clear" w:color="000000" w:fill="8B1D31"/>
            <w:noWrap/>
            <w:vAlign w:val="center"/>
            <w:hideMark/>
          </w:tcPr>
          <w:p w14:paraId="7E1BEFFA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91170D">
              <w:rPr>
                <w:rFonts w:eastAsia="Times New Roman"/>
                <w:b/>
                <w:color w:val="FFFFFF"/>
                <w:lang w:eastAsia="es-MX"/>
              </w:rPr>
              <w:lastRenderedPageBreak/>
              <w:t>6. Datos de Contratación de la Evaluación</w:t>
            </w:r>
          </w:p>
        </w:tc>
      </w:tr>
      <w:tr w:rsidR="00690BCC" w:rsidRPr="00E1388F" w14:paraId="5F90F982" w14:textId="77777777" w:rsidTr="004B0183">
        <w:trPr>
          <w:trHeight w:val="375"/>
          <w:tblCellSpacing w:w="20" w:type="dxa"/>
        </w:trPr>
        <w:tc>
          <w:tcPr>
            <w:tcW w:w="10465" w:type="dxa"/>
            <w:gridSpan w:val="2"/>
            <w:shd w:val="clear" w:color="000000" w:fill="FFFFFF"/>
            <w:noWrap/>
            <w:vAlign w:val="center"/>
            <w:hideMark/>
          </w:tcPr>
          <w:p w14:paraId="6BF63660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6.1 Tipo de Contratación:</w:t>
            </w:r>
            <w:r w:rsidR="00601986">
              <w:rPr>
                <w:rFonts w:eastAsia="Times New Roman"/>
                <w:color w:val="000000"/>
                <w:lang w:eastAsia="es-MX"/>
              </w:rPr>
              <w:t xml:space="preserve"> Seleccionar con una (X) el correspondiente </w:t>
            </w:r>
          </w:p>
        </w:tc>
      </w:tr>
      <w:tr w:rsidR="00690BCC" w:rsidRPr="00E1388F" w14:paraId="5FC7104B" w14:textId="77777777" w:rsidTr="004B0183">
        <w:trPr>
          <w:trHeight w:val="345"/>
          <w:tblCellSpacing w:w="20" w:type="dxa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14:paraId="57C0DB26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6.1.1 Adjudicación Directa:</w:t>
            </w:r>
          </w:p>
        </w:tc>
        <w:tc>
          <w:tcPr>
            <w:tcW w:w="6030" w:type="dxa"/>
            <w:shd w:val="clear" w:color="000000" w:fill="FFFFFF"/>
            <w:noWrap/>
            <w:vAlign w:val="center"/>
            <w:hideMark/>
          </w:tcPr>
          <w:p w14:paraId="1CA4225D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6.1.2 Invitación a Tres:</w:t>
            </w:r>
          </w:p>
        </w:tc>
      </w:tr>
      <w:tr w:rsidR="00690BCC" w:rsidRPr="00E1388F" w14:paraId="52DD197C" w14:textId="77777777" w:rsidTr="004B0183">
        <w:trPr>
          <w:trHeight w:val="446"/>
          <w:tblCellSpacing w:w="20" w:type="dxa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14:paraId="72C8E429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6.1.3 Licitación Pública Nacional:</w:t>
            </w:r>
          </w:p>
        </w:tc>
        <w:tc>
          <w:tcPr>
            <w:tcW w:w="6030" w:type="dxa"/>
            <w:shd w:val="clear" w:color="000000" w:fill="FFFFFF"/>
            <w:noWrap/>
            <w:vAlign w:val="center"/>
            <w:hideMark/>
          </w:tcPr>
          <w:p w14:paraId="1FE5EDB6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6.1.4 Licitación Pública Internacional:</w:t>
            </w:r>
          </w:p>
        </w:tc>
      </w:tr>
      <w:tr w:rsidR="0091170D" w:rsidRPr="00E1388F" w14:paraId="14D86C29" w14:textId="77777777" w:rsidTr="004B0183">
        <w:trPr>
          <w:trHeight w:val="390"/>
          <w:tblCellSpacing w:w="20" w:type="dxa"/>
        </w:trPr>
        <w:tc>
          <w:tcPr>
            <w:tcW w:w="10465" w:type="dxa"/>
            <w:gridSpan w:val="2"/>
            <w:shd w:val="clear" w:color="000000" w:fill="FFFFFF"/>
            <w:noWrap/>
            <w:vAlign w:val="center"/>
            <w:hideMark/>
          </w:tcPr>
          <w:p w14:paraId="072796FF" w14:textId="77777777" w:rsidR="0091170D" w:rsidRPr="0091170D" w:rsidRDefault="0091170D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 xml:space="preserve">6.1.5 Otro: </w:t>
            </w:r>
            <w:r w:rsidR="00FB2BF7" w:rsidRPr="00FB2BF7">
              <w:rPr>
                <w:rFonts w:eastAsia="Times New Roman"/>
                <w:b/>
                <w:bCs/>
                <w:color w:val="000000"/>
                <w:lang w:eastAsia="es-MX"/>
              </w:rPr>
              <w:t>Evaluación Interna</w:t>
            </w:r>
          </w:p>
        </w:tc>
      </w:tr>
      <w:tr w:rsidR="00690BCC" w:rsidRPr="00E1388F" w14:paraId="7A190ABC" w14:textId="77777777" w:rsidTr="004B0183">
        <w:trPr>
          <w:trHeight w:val="390"/>
          <w:tblCellSpacing w:w="20" w:type="dxa"/>
        </w:trPr>
        <w:tc>
          <w:tcPr>
            <w:tcW w:w="10465" w:type="dxa"/>
            <w:gridSpan w:val="2"/>
            <w:shd w:val="clear" w:color="000000" w:fill="FFFFFF"/>
            <w:noWrap/>
            <w:vAlign w:val="center"/>
            <w:hideMark/>
          </w:tcPr>
          <w:p w14:paraId="4DBA2B39" w14:textId="77777777" w:rsidR="00E1388F" w:rsidRPr="00FB2BF7" w:rsidRDefault="00E1388F" w:rsidP="005565AC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6.2 Unidad Administrativa Responsable de Contratar la Evaluación:</w:t>
            </w:r>
          </w:p>
        </w:tc>
      </w:tr>
      <w:tr w:rsidR="00690BCC" w:rsidRPr="00E1388F" w14:paraId="66F26772" w14:textId="77777777" w:rsidTr="004B0183">
        <w:trPr>
          <w:trHeight w:val="390"/>
          <w:tblCellSpacing w:w="20" w:type="dxa"/>
        </w:trPr>
        <w:tc>
          <w:tcPr>
            <w:tcW w:w="10465" w:type="dxa"/>
            <w:gridSpan w:val="2"/>
            <w:shd w:val="clear" w:color="000000" w:fill="FFFFFF"/>
            <w:noWrap/>
            <w:vAlign w:val="center"/>
            <w:hideMark/>
          </w:tcPr>
          <w:p w14:paraId="2DBDD71E" w14:textId="77777777" w:rsidR="00E1388F" w:rsidRPr="00E1388F" w:rsidRDefault="00E1388F" w:rsidP="00556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6.3 C</w:t>
            </w:r>
            <w:r w:rsidR="00690BCC" w:rsidRPr="0091170D">
              <w:rPr>
                <w:rFonts w:eastAsia="Times New Roman"/>
                <w:b/>
                <w:color w:val="000000"/>
                <w:lang w:eastAsia="es-MX"/>
              </w:rPr>
              <w:t>osto Total de la Evaluación</w:t>
            </w:r>
            <w:r w:rsidR="00FB2BF7">
              <w:rPr>
                <w:rFonts w:eastAsia="Times New Roman"/>
                <w:b/>
                <w:color w:val="000000"/>
                <w:lang w:eastAsia="es-MX"/>
              </w:rPr>
              <w:t>:</w:t>
            </w:r>
          </w:p>
        </w:tc>
      </w:tr>
      <w:tr w:rsidR="00690BCC" w:rsidRPr="00E1388F" w14:paraId="0F8B1F34" w14:textId="77777777" w:rsidTr="004B0183">
        <w:trPr>
          <w:trHeight w:val="390"/>
          <w:tblCellSpacing w:w="20" w:type="dxa"/>
        </w:trPr>
        <w:tc>
          <w:tcPr>
            <w:tcW w:w="10465" w:type="dxa"/>
            <w:gridSpan w:val="2"/>
            <w:shd w:val="clear" w:color="000000" w:fill="FFFFFF"/>
            <w:noWrap/>
            <w:vAlign w:val="center"/>
            <w:hideMark/>
          </w:tcPr>
          <w:p w14:paraId="7C77808A" w14:textId="77777777" w:rsidR="00E1388F" w:rsidRPr="00E1388F" w:rsidRDefault="00E1388F" w:rsidP="00556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6.4 Fuente de Financiamiento:</w:t>
            </w:r>
          </w:p>
        </w:tc>
      </w:tr>
    </w:tbl>
    <w:p w14:paraId="6738C51C" w14:textId="77777777" w:rsidR="00EC63B6" w:rsidRDefault="00EC63B6" w:rsidP="002272AA">
      <w:pPr>
        <w:spacing w:after="0"/>
      </w:pPr>
    </w:p>
    <w:tbl>
      <w:tblPr>
        <w:tblW w:w="10545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5"/>
      </w:tblGrid>
      <w:tr w:rsidR="00690BCC" w:rsidRPr="0091170D" w14:paraId="6D097436" w14:textId="77777777" w:rsidTr="004B0183">
        <w:trPr>
          <w:trHeight w:val="300"/>
          <w:tblCellSpacing w:w="20" w:type="dxa"/>
        </w:trPr>
        <w:tc>
          <w:tcPr>
            <w:tcW w:w="10465" w:type="dxa"/>
            <w:shd w:val="clear" w:color="000000" w:fill="8B1D31"/>
            <w:noWrap/>
            <w:vAlign w:val="center"/>
            <w:hideMark/>
          </w:tcPr>
          <w:p w14:paraId="07EEBE5C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91170D">
              <w:rPr>
                <w:rFonts w:eastAsia="Times New Roman"/>
                <w:b/>
                <w:color w:val="FFFFFF"/>
                <w:lang w:eastAsia="es-MX"/>
              </w:rPr>
              <w:t>7. Difusión de la Evaluación</w:t>
            </w:r>
          </w:p>
        </w:tc>
      </w:tr>
      <w:tr w:rsidR="00690BCC" w:rsidRPr="00E1388F" w14:paraId="31A10F0A" w14:textId="77777777" w:rsidTr="004B0183">
        <w:trPr>
          <w:trHeight w:val="390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1EBC1C94" w14:textId="648CE2C9" w:rsidR="0089095B" w:rsidRPr="00E1388F" w:rsidRDefault="00E1388F" w:rsidP="0089095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7.1 Difusión en Internet de la Evaluación:</w:t>
            </w:r>
            <w:r w:rsidR="00317E7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82232" w:rsidRPr="00F82232">
              <w:rPr>
                <w:rStyle w:val="Hipervnculo"/>
                <w:rFonts w:eastAsia="Times New Roman"/>
                <w:lang w:eastAsia="es-MX"/>
              </w:rPr>
              <w:t>saf.transparenciasinaloa.gob.mx/sed/</w:t>
            </w:r>
          </w:p>
        </w:tc>
      </w:tr>
      <w:tr w:rsidR="00690BCC" w:rsidRPr="00E1388F" w14:paraId="21EAA5EE" w14:textId="77777777" w:rsidTr="004B0183">
        <w:trPr>
          <w:trHeight w:val="390"/>
          <w:tblCellSpacing w:w="20" w:type="dxa"/>
        </w:trPr>
        <w:tc>
          <w:tcPr>
            <w:tcW w:w="10465" w:type="dxa"/>
            <w:shd w:val="clear" w:color="000000" w:fill="FFFFFF"/>
            <w:noWrap/>
            <w:hideMark/>
          </w:tcPr>
          <w:p w14:paraId="0ACAD218" w14:textId="77777777" w:rsidR="00E1388F" w:rsidRPr="00E1388F" w:rsidRDefault="00E1388F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7.2 Difusión en Internet del Formato</w:t>
            </w:r>
            <w:r w:rsidR="00E474E8" w:rsidRPr="0091170D">
              <w:rPr>
                <w:rFonts w:eastAsia="Times New Roman"/>
                <w:b/>
                <w:color w:val="000000"/>
                <w:lang w:eastAsia="es-MX"/>
              </w:rPr>
              <w:t xml:space="preserve">: </w:t>
            </w:r>
            <w:r w:rsidR="00F82232" w:rsidRPr="00F82232">
              <w:rPr>
                <w:rStyle w:val="Hipervnculo"/>
                <w:rFonts w:eastAsia="Times New Roman"/>
                <w:lang w:eastAsia="es-MX"/>
              </w:rPr>
              <w:t>saf.transparenciasinaloa.gob.mx/sed/</w:t>
            </w:r>
          </w:p>
        </w:tc>
      </w:tr>
    </w:tbl>
    <w:p w14:paraId="41EC72AD" w14:textId="77777777" w:rsidR="00E474E8" w:rsidRDefault="00E474E8"/>
    <w:sectPr w:rsidR="00E474E8" w:rsidSect="00645319">
      <w:headerReference w:type="default" r:id="rId8"/>
      <w:headerReference w:type="first" r:id="rId9"/>
      <w:pgSz w:w="12240" w:h="15840"/>
      <w:pgMar w:top="2694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D9EA" w14:textId="77777777" w:rsidR="009C53A6" w:rsidRDefault="009C53A6" w:rsidP="008E5209">
      <w:pPr>
        <w:spacing w:after="0" w:line="240" w:lineRule="auto"/>
      </w:pPr>
      <w:r>
        <w:separator/>
      </w:r>
    </w:p>
  </w:endnote>
  <w:endnote w:type="continuationSeparator" w:id="0">
    <w:p w14:paraId="60CA6EC9" w14:textId="77777777" w:rsidR="009C53A6" w:rsidRDefault="009C53A6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F5CA" w14:textId="77777777" w:rsidR="009C53A6" w:rsidRDefault="009C53A6" w:rsidP="008E5209">
      <w:pPr>
        <w:spacing w:after="0" w:line="240" w:lineRule="auto"/>
      </w:pPr>
      <w:r>
        <w:separator/>
      </w:r>
    </w:p>
  </w:footnote>
  <w:footnote w:type="continuationSeparator" w:id="0">
    <w:p w14:paraId="4C5B831A" w14:textId="77777777" w:rsidR="009C53A6" w:rsidRDefault="009C53A6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9F4CE" w14:textId="2FA05E17" w:rsidR="00DF12BB" w:rsidRDefault="00840DEC" w:rsidP="00EA0E3B">
    <w:pPr>
      <w:pStyle w:val="Encabezado"/>
      <w:ind w:right="141"/>
      <w:jc w:val="right"/>
    </w:pPr>
    <w:r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0215A" wp14:editId="40856545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A45EF1" w14:textId="77777777" w:rsidR="00DF12BB" w:rsidRDefault="00DF12BB" w:rsidP="00DF12BB"/>
                        <w:p w14:paraId="7DDB02F0" w14:textId="77777777" w:rsidR="00DF12BB" w:rsidRPr="00AA3309" w:rsidRDefault="00DF12BB" w:rsidP="00DF12BB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021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25pt;margin-top:-5pt;width:8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    <v:textbox>
                <w:txbxContent>
                  <w:p w14:paraId="35A45EF1" w14:textId="77777777" w:rsidR="00DF12BB" w:rsidRDefault="00DF12BB" w:rsidP="00DF12BB"/>
                  <w:p w14:paraId="7DDB02F0" w14:textId="77777777" w:rsidR="00DF12BB" w:rsidRPr="00AA3309" w:rsidRDefault="00DF12BB" w:rsidP="00DF12BB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="00DF12BB"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57216" behindDoc="1" locked="0" layoutInCell="1" allowOverlap="1" wp14:anchorId="7C8C1ACF" wp14:editId="25ED8258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D165F8" w14:textId="1696ECF0" w:rsidR="00544072" w:rsidRPr="006005B6" w:rsidRDefault="0084799B" w:rsidP="0084799B">
    <w:pPr>
      <w:ind w:left="2268"/>
      <w:jc w:val="right"/>
      <w:rPr>
        <w:rFonts w:ascii="Montserrat Light" w:hAnsi="Montserrat Light" w:cs="Arial"/>
        <w:b/>
        <w:color w:val="861D31"/>
        <w:sz w:val="26"/>
        <w:szCs w:val="26"/>
      </w:rPr>
    </w:pPr>
    <w:r w:rsidRPr="006005B6">
      <w:rPr>
        <w:rFonts w:ascii="Montserrat Light" w:hAnsi="Montserrat Light" w:cs="Arial"/>
        <w:b/>
        <w:color w:val="861D31"/>
        <w:sz w:val="26"/>
        <w:szCs w:val="26"/>
      </w:rPr>
      <w:t xml:space="preserve">Formato para la Difusión de los Resultados de la Evaluación del programa </w:t>
    </w:r>
    <w:r w:rsidRPr="003B4198">
      <w:rPr>
        <w:rFonts w:ascii="Montserrat Light" w:hAnsi="Montserrat Light" w:cs="Arial"/>
        <w:b/>
        <w:color w:val="861D31"/>
        <w:sz w:val="26"/>
        <w:szCs w:val="26"/>
      </w:rPr>
      <w:t>Servicios Descentralizados para la Educación de los Adultos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5425" w14:textId="3ABCEDFF" w:rsidR="0086126F" w:rsidRDefault="00840DEC" w:rsidP="006E0ADC">
    <w:pPr>
      <w:pStyle w:val="Encabezado"/>
      <w:ind w:right="1"/>
      <w:jc w:val="right"/>
      <w:rPr>
        <w:rFonts w:ascii="Montserrat Light" w:hAnsi="Montserrat Light" w:cs="Arial"/>
        <w:b/>
        <w:color w:val="861D31"/>
        <w:szCs w:val="20"/>
      </w:rPr>
    </w:pPr>
    <w:r>
      <w:rPr>
        <w:rFonts w:ascii="Montserrat Light" w:hAnsi="Montserrat Light" w:cs="Arial"/>
        <w:noProof/>
        <w:color w:val="861D31"/>
        <w:szCs w:val="20"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AE2949" wp14:editId="73590FB8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57110" w14:textId="77777777" w:rsidR="0086126F" w:rsidRDefault="0086126F" w:rsidP="00C759BF"/>
                        <w:p w14:paraId="579F36D9" w14:textId="77777777" w:rsidR="0086126F" w:rsidRPr="00AA3309" w:rsidRDefault="0086126F" w:rsidP="00C759BF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E29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25pt;margin-top:-5pt;width:86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    <v:textbox>
                <w:txbxContent>
                  <w:p w14:paraId="3E157110" w14:textId="77777777" w:rsidR="0086126F" w:rsidRDefault="0086126F" w:rsidP="00C759BF"/>
                  <w:p w14:paraId="579F36D9" w14:textId="77777777" w:rsidR="0086126F" w:rsidRPr="00AA3309" w:rsidRDefault="0086126F" w:rsidP="00C759BF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="0086126F" w:rsidRPr="00DA1D55">
      <w:rPr>
        <w:rFonts w:ascii="Montserrat Light" w:hAnsi="Montserrat Light"/>
        <w:noProof/>
        <w:color w:val="861D31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6B729BA6" wp14:editId="26CA301C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3917BD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635070B8" w14:textId="77777777" w:rsidR="0086126F" w:rsidRDefault="0086126F">
    <w:pPr>
      <w:pStyle w:val="Encabezado"/>
    </w:pPr>
  </w:p>
  <w:p w14:paraId="2001327E" w14:textId="77777777" w:rsidR="0086126F" w:rsidRDefault="0086126F">
    <w:pPr>
      <w:pStyle w:val="Encabezado"/>
    </w:pPr>
  </w:p>
  <w:p w14:paraId="68FAC89D" w14:textId="0E904A34" w:rsidR="0086126F" w:rsidRPr="006005B6" w:rsidRDefault="0086126F" w:rsidP="003B4198">
    <w:pPr>
      <w:ind w:left="2268"/>
      <w:jc w:val="right"/>
      <w:rPr>
        <w:rFonts w:ascii="Montserrat Light" w:hAnsi="Montserrat Light" w:cs="Arial"/>
        <w:b/>
        <w:color w:val="861D31"/>
        <w:sz w:val="26"/>
        <w:szCs w:val="26"/>
      </w:rPr>
    </w:pPr>
    <w:r w:rsidRPr="006005B6">
      <w:rPr>
        <w:rFonts w:ascii="Montserrat Light" w:hAnsi="Montserrat Light" w:cs="Arial"/>
        <w:b/>
        <w:color w:val="861D31"/>
        <w:sz w:val="26"/>
        <w:szCs w:val="26"/>
      </w:rPr>
      <w:t>Formato para la Difusión de los Resultados de la Evaluaci</w:t>
    </w:r>
    <w:r w:rsidR="002272AA" w:rsidRPr="006005B6">
      <w:rPr>
        <w:rFonts w:ascii="Montserrat Light" w:hAnsi="Montserrat Light" w:cs="Arial"/>
        <w:b/>
        <w:color w:val="861D31"/>
        <w:sz w:val="26"/>
        <w:szCs w:val="26"/>
      </w:rPr>
      <w:t xml:space="preserve">ón del </w:t>
    </w:r>
    <w:r w:rsidR="006005B6" w:rsidRPr="006005B6">
      <w:rPr>
        <w:rFonts w:ascii="Montserrat Light" w:hAnsi="Montserrat Light" w:cs="Arial"/>
        <w:b/>
        <w:color w:val="861D31"/>
        <w:sz w:val="26"/>
        <w:szCs w:val="26"/>
      </w:rPr>
      <w:t xml:space="preserve">programa </w:t>
    </w:r>
    <w:r w:rsidR="003B4198" w:rsidRPr="003B4198">
      <w:rPr>
        <w:rFonts w:ascii="Montserrat Light" w:hAnsi="Montserrat Light" w:cs="Arial"/>
        <w:b/>
        <w:color w:val="861D31"/>
        <w:sz w:val="26"/>
        <w:szCs w:val="26"/>
      </w:rPr>
      <w:t>Servicios Descentralizados para la Educación de los Adultos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C4E"/>
    <w:multiLevelType w:val="hybridMultilevel"/>
    <w:tmpl w:val="0A5A6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13D"/>
    <w:multiLevelType w:val="hybridMultilevel"/>
    <w:tmpl w:val="6F08DE0C"/>
    <w:lvl w:ilvl="0" w:tplc="959607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5CD"/>
    <w:multiLevelType w:val="hybridMultilevel"/>
    <w:tmpl w:val="B0D20AEE"/>
    <w:lvl w:ilvl="0" w:tplc="49444308">
      <w:start w:val="7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4E9"/>
    <w:multiLevelType w:val="hybridMultilevel"/>
    <w:tmpl w:val="403816EA"/>
    <w:lvl w:ilvl="0" w:tplc="5AB0A7A0">
      <w:start w:val="2"/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F10E83"/>
    <w:multiLevelType w:val="hybridMultilevel"/>
    <w:tmpl w:val="7012CD5A"/>
    <w:lvl w:ilvl="0" w:tplc="4BBE3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76C16"/>
    <w:multiLevelType w:val="hybridMultilevel"/>
    <w:tmpl w:val="C8F633FC"/>
    <w:lvl w:ilvl="0" w:tplc="AA8C33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B6524C"/>
    <w:multiLevelType w:val="hybridMultilevel"/>
    <w:tmpl w:val="595E0158"/>
    <w:lvl w:ilvl="0" w:tplc="31947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1F28D9"/>
    <w:multiLevelType w:val="hybridMultilevel"/>
    <w:tmpl w:val="8FF8A2E8"/>
    <w:lvl w:ilvl="0" w:tplc="84649956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00333"/>
    <w:multiLevelType w:val="multilevel"/>
    <w:tmpl w:val="2A068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D13E4A"/>
    <w:multiLevelType w:val="hybridMultilevel"/>
    <w:tmpl w:val="D856DCE6"/>
    <w:lvl w:ilvl="0" w:tplc="A3CA052E">
      <w:start w:val="3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D8B"/>
    <w:multiLevelType w:val="hybridMultilevel"/>
    <w:tmpl w:val="7D1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15F1"/>
    <w:multiLevelType w:val="hybridMultilevel"/>
    <w:tmpl w:val="193C59BA"/>
    <w:lvl w:ilvl="0" w:tplc="2108BC4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79CA"/>
    <w:multiLevelType w:val="multilevel"/>
    <w:tmpl w:val="BC1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3F0F9F"/>
    <w:multiLevelType w:val="hybridMultilevel"/>
    <w:tmpl w:val="E5BA9486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297BA0"/>
    <w:multiLevelType w:val="multilevel"/>
    <w:tmpl w:val="856C2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4F38E1"/>
    <w:multiLevelType w:val="hybridMultilevel"/>
    <w:tmpl w:val="4968A7C6"/>
    <w:lvl w:ilvl="0" w:tplc="14602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26B16"/>
    <w:multiLevelType w:val="hybridMultilevel"/>
    <w:tmpl w:val="457048BC"/>
    <w:lvl w:ilvl="0" w:tplc="6E9AA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C32B0"/>
    <w:multiLevelType w:val="hybridMultilevel"/>
    <w:tmpl w:val="8582623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9153BA"/>
    <w:multiLevelType w:val="hybridMultilevel"/>
    <w:tmpl w:val="9D041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91DE4"/>
    <w:multiLevelType w:val="hybridMultilevel"/>
    <w:tmpl w:val="F71483E0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6E56919"/>
    <w:multiLevelType w:val="hybridMultilevel"/>
    <w:tmpl w:val="6ACED8B4"/>
    <w:lvl w:ilvl="0" w:tplc="4C70BF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65860"/>
    <w:multiLevelType w:val="hybridMultilevel"/>
    <w:tmpl w:val="083A0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C7CA7"/>
    <w:multiLevelType w:val="hybridMultilevel"/>
    <w:tmpl w:val="613A5D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C4E9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6798F"/>
    <w:multiLevelType w:val="multilevel"/>
    <w:tmpl w:val="952E9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6B33B3"/>
    <w:multiLevelType w:val="multilevel"/>
    <w:tmpl w:val="B18CF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7435BC"/>
    <w:multiLevelType w:val="hybridMultilevel"/>
    <w:tmpl w:val="E2D0C828"/>
    <w:lvl w:ilvl="0" w:tplc="035AFE3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8171D"/>
    <w:multiLevelType w:val="hybridMultilevel"/>
    <w:tmpl w:val="4DE26EE4"/>
    <w:lvl w:ilvl="0" w:tplc="ADA064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73403"/>
    <w:multiLevelType w:val="multilevel"/>
    <w:tmpl w:val="F72AA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C31A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7427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2B4325"/>
    <w:multiLevelType w:val="hybridMultilevel"/>
    <w:tmpl w:val="2A7A0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57D1"/>
    <w:multiLevelType w:val="hybridMultilevel"/>
    <w:tmpl w:val="594063B8"/>
    <w:lvl w:ilvl="0" w:tplc="670EDCD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D292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3A4B3F"/>
    <w:multiLevelType w:val="hybridMultilevel"/>
    <w:tmpl w:val="062E60CE"/>
    <w:lvl w:ilvl="0" w:tplc="54408794">
      <w:start w:val="6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4FC9"/>
    <w:multiLevelType w:val="hybridMultilevel"/>
    <w:tmpl w:val="B26C5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62A2"/>
    <w:multiLevelType w:val="hybridMultilevel"/>
    <w:tmpl w:val="9BBE73A8"/>
    <w:lvl w:ilvl="0" w:tplc="199E1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95F3D"/>
    <w:multiLevelType w:val="hybridMultilevel"/>
    <w:tmpl w:val="09FA3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3327"/>
    <w:multiLevelType w:val="hybridMultilevel"/>
    <w:tmpl w:val="3CD042F8"/>
    <w:lvl w:ilvl="0" w:tplc="5A8296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04271"/>
    <w:multiLevelType w:val="multilevel"/>
    <w:tmpl w:val="502AC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891035"/>
    <w:multiLevelType w:val="hybridMultilevel"/>
    <w:tmpl w:val="84FEADF4"/>
    <w:lvl w:ilvl="0" w:tplc="7638A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6"/>
  </w:num>
  <w:num w:numId="5">
    <w:abstractNumId w:val="19"/>
  </w:num>
  <w:num w:numId="6">
    <w:abstractNumId w:val="4"/>
  </w:num>
  <w:num w:numId="7">
    <w:abstractNumId w:val="39"/>
  </w:num>
  <w:num w:numId="8">
    <w:abstractNumId w:val="31"/>
  </w:num>
  <w:num w:numId="9">
    <w:abstractNumId w:val="26"/>
  </w:num>
  <w:num w:numId="10">
    <w:abstractNumId w:val="20"/>
  </w:num>
  <w:num w:numId="11">
    <w:abstractNumId w:val="7"/>
  </w:num>
  <w:num w:numId="12">
    <w:abstractNumId w:val="13"/>
  </w:num>
  <w:num w:numId="13">
    <w:abstractNumId w:val="22"/>
  </w:num>
  <w:num w:numId="14">
    <w:abstractNumId w:val="33"/>
  </w:num>
  <w:num w:numId="15">
    <w:abstractNumId w:val="5"/>
  </w:num>
  <w:num w:numId="16">
    <w:abstractNumId w:val="1"/>
  </w:num>
  <w:num w:numId="17">
    <w:abstractNumId w:val="37"/>
  </w:num>
  <w:num w:numId="18">
    <w:abstractNumId w:val="35"/>
  </w:num>
  <w:num w:numId="19">
    <w:abstractNumId w:val="2"/>
  </w:num>
  <w:num w:numId="20">
    <w:abstractNumId w:val="25"/>
  </w:num>
  <w:num w:numId="21">
    <w:abstractNumId w:val="9"/>
  </w:num>
  <w:num w:numId="22">
    <w:abstractNumId w:val="16"/>
  </w:num>
  <w:num w:numId="23">
    <w:abstractNumId w:val="0"/>
  </w:num>
  <w:num w:numId="24">
    <w:abstractNumId w:val="28"/>
  </w:num>
  <w:num w:numId="25">
    <w:abstractNumId w:val="32"/>
  </w:num>
  <w:num w:numId="26">
    <w:abstractNumId w:val="3"/>
  </w:num>
  <w:num w:numId="27">
    <w:abstractNumId w:val="11"/>
  </w:num>
  <w:num w:numId="28">
    <w:abstractNumId w:val="29"/>
  </w:num>
  <w:num w:numId="29">
    <w:abstractNumId w:val="24"/>
  </w:num>
  <w:num w:numId="30">
    <w:abstractNumId w:val="38"/>
  </w:num>
  <w:num w:numId="31">
    <w:abstractNumId w:val="8"/>
  </w:num>
  <w:num w:numId="32">
    <w:abstractNumId w:val="12"/>
  </w:num>
  <w:num w:numId="33">
    <w:abstractNumId w:val="23"/>
  </w:num>
  <w:num w:numId="34">
    <w:abstractNumId w:val="14"/>
  </w:num>
  <w:num w:numId="35">
    <w:abstractNumId w:val="27"/>
  </w:num>
  <w:num w:numId="36">
    <w:abstractNumId w:val="18"/>
  </w:num>
  <w:num w:numId="37">
    <w:abstractNumId w:val="34"/>
  </w:num>
  <w:num w:numId="38">
    <w:abstractNumId w:val="30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09"/>
    <w:rsid w:val="00003D1B"/>
    <w:rsid w:val="0001033D"/>
    <w:rsid w:val="000118B1"/>
    <w:rsid w:val="00017F38"/>
    <w:rsid w:val="000228F8"/>
    <w:rsid w:val="00023EAD"/>
    <w:rsid w:val="00024AE9"/>
    <w:rsid w:val="0003464C"/>
    <w:rsid w:val="00037498"/>
    <w:rsid w:val="00057C89"/>
    <w:rsid w:val="00063EAD"/>
    <w:rsid w:val="00067330"/>
    <w:rsid w:val="00072141"/>
    <w:rsid w:val="00076C94"/>
    <w:rsid w:val="00080258"/>
    <w:rsid w:val="00082BC3"/>
    <w:rsid w:val="00083A07"/>
    <w:rsid w:val="00084948"/>
    <w:rsid w:val="000919D6"/>
    <w:rsid w:val="000A0543"/>
    <w:rsid w:val="000A1D0D"/>
    <w:rsid w:val="000A4397"/>
    <w:rsid w:val="000B745B"/>
    <w:rsid w:val="000C5759"/>
    <w:rsid w:val="000C7555"/>
    <w:rsid w:val="000C7912"/>
    <w:rsid w:val="000C7DB8"/>
    <w:rsid w:val="000D764C"/>
    <w:rsid w:val="000E12B3"/>
    <w:rsid w:val="000F2D60"/>
    <w:rsid w:val="000F3AF6"/>
    <w:rsid w:val="000F6061"/>
    <w:rsid w:val="00102E69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73C"/>
    <w:rsid w:val="001941FF"/>
    <w:rsid w:val="001A0E6E"/>
    <w:rsid w:val="001B0AC5"/>
    <w:rsid w:val="001C5275"/>
    <w:rsid w:val="001D187A"/>
    <w:rsid w:val="001E5983"/>
    <w:rsid w:val="001E66BD"/>
    <w:rsid w:val="001F0D23"/>
    <w:rsid w:val="001F2C2A"/>
    <w:rsid w:val="001F6318"/>
    <w:rsid w:val="0020020C"/>
    <w:rsid w:val="0020155A"/>
    <w:rsid w:val="0020264E"/>
    <w:rsid w:val="002030DF"/>
    <w:rsid w:val="002051F1"/>
    <w:rsid w:val="00214062"/>
    <w:rsid w:val="002272AA"/>
    <w:rsid w:val="00230930"/>
    <w:rsid w:val="002312DF"/>
    <w:rsid w:val="00233D0F"/>
    <w:rsid w:val="002356D5"/>
    <w:rsid w:val="0023762C"/>
    <w:rsid w:val="002422A9"/>
    <w:rsid w:val="00256B08"/>
    <w:rsid w:val="00263C83"/>
    <w:rsid w:val="00264327"/>
    <w:rsid w:val="0026692D"/>
    <w:rsid w:val="002801B9"/>
    <w:rsid w:val="00281DFC"/>
    <w:rsid w:val="002903FB"/>
    <w:rsid w:val="00296056"/>
    <w:rsid w:val="002A29EE"/>
    <w:rsid w:val="002A318E"/>
    <w:rsid w:val="002B2C96"/>
    <w:rsid w:val="002D1AFC"/>
    <w:rsid w:val="002D3EA7"/>
    <w:rsid w:val="002D457E"/>
    <w:rsid w:val="002E1A84"/>
    <w:rsid w:val="002E4405"/>
    <w:rsid w:val="002E6DAC"/>
    <w:rsid w:val="002F378E"/>
    <w:rsid w:val="00316A9C"/>
    <w:rsid w:val="00316C41"/>
    <w:rsid w:val="00317E75"/>
    <w:rsid w:val="00323621"/>
    <w:rsid w:val="00325565"/>
    <w:rsid w:val="003270DD"/>
    <w:rsid w:val="00331966"/>
    <w:rsid w:val="00332B71"/>
    <w:rsid w:val="00332B81"/>
    <w:rsid w:val="00342BB1"/>
    <w:rsid w:val="00345DBF"/>
    <w:rsid w:val="00351B94"/>
    <w:rsid w:val="003671EF"/>
    <w:rsid w:val="00375FD1"/>
    <w:rsid w:val="003800F3"/>
    <w:rsid w:val="003867E1"/>
    <w:rsid w:val="003954C6"/>
    <w:rsid w:val="003964B5"/>
    <w:rsid w:val="003B4198"/>
    <w:rsid w:val="003C3463"/>
    <w:rsid w:val="003C5B02"/>
    <w:rsid w:val="003D5C34"/>
    <w:rsid w:val="003E326B"/>
    <w:rsid w:val="003E4BAA"/>
    <w:rsid w:val="003E6E57"/>
    <w:rsid w:val="003F0AF3"/>
    <w:rsid w:val="003F315D"/>
    <w:rsid w:val="00413C04"/>
    <w:rsid w:val="0041452B"/>
    <w:rsid w:val="00416CC1"/>
    <w:rsid w:val="004246C7"/>
    <w:rsid w:val="00425911"/>
    <w:rsid w:val="00431E65"/>
    <w:rsid w:val="004327A3"/>
    <w:rsid w:val="0044695A"/>
    <w:rsid w:val="004512E5"/>
    <w:rsid w:val="004620A0"/>
    <w:rsid w:val="00464FDD"/>
    <w:rsid w:val="0047656A"/>
    <w:rsid w:val="00480476"/>
    <w:rsid w:val="0049271E"/>
    <w:rsid w:val="00495144"/>
    <w:rsid w:val="004A055F"/>
    <w:rsid w:val="004A30A1"/>
    <w:rsid w:val="004B0183"/>
    <w:rsid w:val="004C10D1"/>
    <w:rsid w:val="004C1175"/>
    <w:rsid w:val="004C1F58"/>
    <w:rsid w:val="004C36DB"/>
    <w:rsid w:val="004D131A"/>
    <w:rsid w:val="004D31EC"/>
    <w:rsid w:val="004E2AE5"/>
    <w:rsid w:val="004E5966"/>
    <w:rsid w:val="004F1261"/>
    <w:rsid w:val="0050641D"/>
    <w:rsid w:val="00510CF9"/>
    <w:rsid w:val="00531BE3"/>
    <w:rsid w:val="00531C3D"/>
    <w:rsid w:val="00533905"/>
    <w:rsid w:val="005369D7"/>
    <w:rsid w:val="00544072"/>
    <w:rsid w:val="00550AFC"/>
    <w:rsid w:val="00555F51"/>
    <w:rsid w:val="005565AC"/>
    <w:rsid w:val="00564E3C"/>
    <w:rsid w:val="00575727"/>
    <w:rsid w:val="005773F7"/>
    <w:rsid w:val="005826E6"/>
    <w:rsid w:val="005845F6"/>
    <w:rsid w:val="0058734A"/>
    <w:rsid w:val="0059649C"/>
    <w:rsid w:val="005A2AEF"/>
    <w:rsid w:val="005B4A7B"/>
    <w:rsid w:val="005B6573"/>
    <w:rsid w:val="005B6E40"/>
    <w:rsid w:val="005C47E6"/>
    <w:rsid w:val="005E44FA"/>
    <w:rsid w:val="005F33CC"/>
    <w:rsid w:val="005F575E"/>
    <w:rsid w:val="006005B6"/>
    <w:rsid w:val="00601986"/>
    <w:rsid w:val="00602B50"/>
    <w:rsid w:val="00603771"/>
    <w:rsid w:val="006123C0"/>
    <w:rsid w:val="0062578D"/>
    <w:rsid w:val="00630891"/>
    <w:rsid w:val="00634396"/>
    <w:rsid w:val="00645319"/>
    <w:rsid w:val="0065144E"/>
    <w:rsid w:val="0065719B"/>
    <w:rsid w:val="0066230E"/>
    <w:rsid w:val="00666BE5"/>
    <w:rsid w:val="00667A29"/>
    <w:rsid w:val="00671A91"/>
    <w:rsid w:val="00676800"/>
    <w:rsid w:val="0068293A"/>
    <w:rsid w:val="00690BCC"/>
    <w:rsid w:val="0069467B"/>
    <w:rsid w:val="006A18AF"/>
    <w:rsid w:val="006A3D81"/>
    <w:rsid w:val="006A631C"/>
    <w:rsid w:val="006C0CCC"/>
    <w:rsid w:val="006D4E80"/>
    <w:rsid w:val="006E0ADC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E86"/>
    <w:rsid w:val="007513D2"/>
    <w:rsid w:val="007541F8"/>
    <w:rsid w:val="007610AB"/>
    <w:rsid w:val="00782C22"/>
    <w:rsid w:val="00784BFB"/>
    <w:rsid w:val="007862E9"/>
    <w:rsid w:val="007967D9"/>
    <w:rsid w:val="007967FB"/>
    <w:rsid w:val="007A0C17"/>
    <w:rsid w:val="007A0D4E"/>
    <w:rsid w:val="007A73AA"/>
    <w:rsid w:val="007A782D"/>
    <w:rsid w:val="007B4768"/>
    <w:rsid w:val="007B6CB9"/>
    <w:rsid w:val="007B7ADC"/>
    <w:rsid w:val="007C73EB"/>
    <w:rsid w:val="007D19D3"/>
    <w:rsid w:val="007D4353"/>
    <w:rsid w:val="007D7081"/>
    <w:rsid w:val="007E4A2A"/>
    <w:rsid w:val="007E5374"/>
    <w:rsid w:val="007F7EF8"/>
    <w:rsid w:val="00801AE3"/>
    <w:rsid w:val="00802296"/>
    <w:rsid w:val="00803598"/>
    <w:rsid w:val="00807F0F"/>
    <w:rsid w:val="00822FE3"/>
    <w:rsid w:val="00827FA5"/>
    <w:rsid w:val="0083482F"/>
    <w:rsid w:val="008405A6"/>
    <w:rsid w:val="00840DEC"/>
    <w:rsid w:val="0084799B"/>
    <w:rsid w:val="00855D89"/>
    <w:rsid w:val="00857815"/>
    <w:rsid w:val="0085799F"/>
    <w:rsid w:val="00860E2B"/>
    <w:rsid w:val="0086126F"/>
    <w:rsid w:val="008726E2"/>
    <w:rsid w:val="00874C99"/>
    <w:rsid w:val="0088276D"/>
    <w:rsid w:val="00882D04"/>
    <w:rsid w:val="008905B0"/>
    <w:rsid w:val="00890761"/>
    <w:rsid w:val="0089095B"/>
    <w:rsid w:val="008A0BCB"/>
    <w:rsid w:val="008A0CB2"/>
    <w:rsid w:val="008D08A8"/>
    <w:rsid w:val="008D2433"/>
    <w:rsid w:val="008D5CEB"/>
    <w:rsid w:val="008E3483"/>
    <w:rsid w:val="008E5209"/>
    <w:rsid w:val="008F0494"/>
    <w:rsid w:val="008F1D6E"/>
    <w:rsid w:val="0091170D"/>
    <w:rsid w:val="009160E1"/>
    <w:rsid w:val="0092465C"/>
    <w:rsid w:val="009263AC"/>
    <w:rsid w:val="00934890"/>
    <w:rsid w:val="009352D5"/>
    <w:rsid w:val="00950021"/>
    <w:rsid w:val="0096110F"/>
    <w:rsid w:val="009768FB"/>
    <w:rsid w:val="00983315"/>
    <w:rsid w:val="00993671"/>
    <w:rsid w:val="009A182A"/>
    <w:rsid w:val="009A3BA4"/>
    <w:rsid w:val="009B3B2B"/>
    <w:rsid w:val="009B5E2C"/>
    <w:rsid w:val="009B795A"/>
    <w:rsid w:val="009C06EF"/>
    <w:rsid w:val="009C2A50"/>
    <w:rsid w:val="009C53A6"/>
    <w:rsid w:val="009C6FE2"/>
    <w:rsid w:val="009C7D89"/>
    <w:rsid w:val="009D58D9"/>
    <w:rsid w:val="009D7FB9"/>
    <w:rsid w:val="009E50E6"/>
    <w:rsid w:val="009E7DF9"/>
    <w:rsid w:val="009F12A7"/>
    <w:rsid w:val="009F257D"/>
    <w:rsid w:val="00A0130B"/>
    <w:rsid w:val="00A06B19"/>
    <w:rsid w:val="00A06C49"/>
    <w:rsid w:val="00A07BDC"/>
    <w:rsid w:val="00A16C5A"/>
    <w:rsid w:val="00A3027C"/>
    <w:rsid w:val="00A30BA4"/>
    <w:rsid w:val="00A342A7"/>
    <w:rsid w:val="00A349AA"/>
    <w:rsid w:val="00A41EEE"/>
    <w:rsid w:val="00A41F8F"/>
    <w:rsid w:val="00A420BE"/>
    <w:rsid w:val="00A45C63"/>
    <w:rsid w:val="00A46A7F"/>
    <w:rsid w:val="00A564F9"/>
    <w:rsid w:val="00A57018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A78BE"/>
    <w:rsid w:val="00AB5C90"/>
    <w:rsid w:val="00AC54AF"/>
    <w:rsid w:val="00AC620E"/>
    <w:rsid w:val="00AD0ADD"/>
    <w:rsid w:val="00AE0BD1"/>
    <w:rsid w:val="00AE4E69"/>
    <w:rsid w:val="00AE5C01"/>
    <w:rsid w:val="00AE5FC1"/>
    <w:rsid w:val="00B10612"/>
    <w:rsid w:val="00B20F0E"/>
    <w:rsid w:val="00B22ADF"/>
    <w:rsid w:val="00B24DE7"/>
    <w:rsid w:val="00B2793D"/>
    <w:rsid w:val="00B3544D"/>
    <w:rsid w:val="00B35EB8"/>
    <w:rsid w:val="00B435F5"/>
    <w:rsid w:val="00B51B31"/>
    <w:rsid w:val="00B56CFA"/>
    <w:rsid w:val="00B614DF"/>
    <w:rsid w:val="00B634A7"/>
    <w:rsid w:val="00B71DBF"/>
    <w:rsid w:val="00B77FBE"/>
    <w:rsid w:val="00BA1B67"/>
    <w:rsid w:val="00BA222E"/>
    <w:rsid w:val="00BA4A59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7166"/>
    <w:rsid w:val="00BF1C9C"/>
    <w:rsid w:val="00BF1F13"/>
    <w:rsid w:val="00BF25EA"/>
    <w:rsid w:val="00BF698D"/>
    <w:rsid w:val="00C04B92"/>
    <w:rsid w:val="00C103A7"/>
    <w:rsid w:val="00C17070"/>
    <w:rsid w:val="00C2107C"/>
    <w:rsid w:val="00C30726"/>
    <w:rsid w:val="00C30C58"/>
    <w:rsid w:val="00C36E65"/>
    <w:rsid w:val="00C54827"/>
    <w:rsid w:val="00C56251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B6CF8"/>
    <w:rsid w:val="00CC06EA"/>
    <w:rsid w:val="00CC489F"/>
    <w:rsid w:val="00CD34D2"/>
    <w:rsid w:val="00CF511B"/>
    <w:rsid w:val="00CF57AE"/>
    <w:rsid w:val="00D10D79"/>
    <w:rsid w:val="00D1436F"/>
    <w:rsid w:val="00D15AF3"/>
    <w:rsid w:val="00D16047"/>
    <w:rsid w:val="00D2217D"/>
    <w:rsid w:val="00D27992"/>
    <w:rsid w:val="00D31A79"/>
    <w:rsid w:val="00D33ED2"/>
    <w:rsid w:val="00D51CB4"/>
    <w:rsid w:val="00D54A9B"/>
    <w:rsid w:val="00D557F6"/>
    <w:rsid w:val="00D617BA"/>
    <w:rsid w:val="00D63AE8"/>
    <w:rsid w:val="00D71101"/>
    <w:rsid w:val="00D73FE0"/>
    <w:rsid w:val="00D77276"/>
    <w:rsid w:val="00D8309E"/>
    <w:rsid w:val="00D92DBC"/>
    <w:rsid w:val="00DA1D55"/>
    <w:rsid w:val="00DA6B5F"/>
    <w:rsid w:val="00DA6D7B"/>
    <w:rsid w:val="00DA738F"/>
    <w:rsid w:val="00DB29CD"/>
    <w:rsid w:val="00DB7D6F"/>
    <w:rsid w:val="00DD1B80"/>
    <w:rsid w:val="00DD2500"/>
    <w:rsid w:val="00DE333B"/>
    <w:rsid w:val="00DE3EC0"/>
    <w:rsid w:val="00DE6821"/>
    <w:rsid w:val="00DF0203"/>
    <w:rsid w:val="00DF12BB"/>
    <w:rsid w:val="00E0038A"/>
    <w:rsid w:val="00E01194"/>
    <w:rsid w:val="00E0297A"/>
    <w:rsid w:val="00E02A2F"/>
    <w:rsid w:val="00E055EA"/>
    <w:rsid w:val="00E107F2"/>
    <w:rsid w:val="00E1147B"/>
    <w:rsid w:val="00E1388F"/>
    <w:rsid w:val="00E236DA"/>
    <w:rsid w:val="00E42310"/>
    <w:rsid w:val="00E474E8"/>
    <w:rsid w:val="00E4783D"/>
    <w:rsid w:val="00E529A2"/>
    <w:rsid w:val="00E55352"/>
    <w:rsid w:val="00E66462"/>
    <w:rsid w:val="00E74948"/>
    <w:rsid w:val="00E76B2E"/>
    <w:rsid w:val="00E81EF2"/>
    <w:rsid w:val="00E85EDC"/>
    <w:rsid w:val="00E91A09"/>
    <w:rsid w:val="00E95051"/>
    <w:rsid w:val="00EA0E3B"/>
    <w:rsid w:val="00EA4287"/>
    <w:rsid w:val="00EB345E"/>
    <w:rsid w:val="00EC21F6"/>
    <w:rsid w:val="00EC3814"/>
    <w:rsid w:val="00EC3A9F"/>
    <w:rsid w:val="00EC63B6"/>
    <w:rsid w:val="00ED0FAB"/>
    <w:rsid w:val="00ED2843"/>
    <w:rsid w:val="00EE32E3"/>
    <w:rsid w:val="00F0320D"/>
    <w:rsid w:val="00F13C07"/>
    <w:rsid w:val="00F16821"/>
    <w:rsid w:val="00F16885"/>
    <w:rsid w:val="00F24D1A"/>
    <w:rsid w:val="00F2576D"/>
    <w:rsid w:val="00F26D0B"/>
    <w:rsid w:val="00F33E30"/>
    <w:rsid w:val="00F3495F"/>
    <w:rsid w:val="00F36ECC"/>
    <w:rsid w:val="00F46C22"/>
    <w:rsid w:val="00F51A08"/>
    <w:rsid w:val="00F75E9D"/>
    <w:rsid w:val="00F82232"/>
    <w:rsid w:val="00F8367D"/>
    <w:rsid w:val="00F963E2"/>
    <w:rsid w:val="00FA198F"/>
    <w:rsid w:val="00FA1BB9"/>
    <w:rsid w:val="00FA6D67"/>
    <w:rsid w:val="00FA7D41"/>
    <w:rsid w:val="00FB0820"/>
    <w:rsid w:val="00FB1BFB"/>
    <w:rsid w:val="00FB1F72"/>
    <w:rsid w:val="00FB2BF7"/>
    <w:rsid w:val="00FB4127"/>
    <w:rsid w:val="00FC30E6"/>
    <w:rsid w:val="00FD1DAA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443A9"/>
  <w15:docId w15:val="{511573C7-87D7-4769-98EA-476B2D96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0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0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693E-90FD-4DD0-BD71-E0A7839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1128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7660@officeent.pw</cp:lastModifiedBy>
  <cp:revision>14</cp:revision>
  <cp:lastPrinted>2018-11-20T02:05:00Z</cp:lastPrinted>
  <dcterms:created xsi:type="dcterms:W3CDTF">2020-09-04T19:29:00Z</dcterms:created>
  <dcterms:modified xsi:type="dcterms:W3CDTF">2020-09-21T18:16:00Z</dcterms:modified>
</cp:coreProperties>
</file>