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5B476" w14:textId="09E0813A" w:rsidR="00250F2E" w:rsidRDefault="00250F2E" w:rsidP="00371908">
      <w:pPr>
        <w:pStyle w:val="Prrafodelista"/>
        <w:numPr>
          <w:ilvl w:val="0"/>
          <w:numId w:val="8"/>
        </w:numPr>
        <w:pBdr>
          <w:top w:val="nil"/>
          <w:left w:val="nil"/>
          <w:bottom w:val="nil"/>
          <w:right w:val="nil"/>
          <w:between w:val="nil"/>
        </w:pBdr>
        <w:spacing w:before="100" w:after="100" w:line="240" w:lineRule="auto"/>
        <w:rPr>
          <w:b/>
          <w:color w:val="000000" w:themeColor="text1"/>
          <w:sz w:val="22"/>
          <w:szCs w:val="22"/>
        </w:rPr>
      </w:pPr>
      <w:r w:rsidRPr="008010AA">
        <w:rPr>
          <w:b/>
          <w:color w:val="000000" w:themeColor="text1"/>
          <w:sz w:val="22"/>
          <w:szCs w:val="22"/>
        </w:rPr>
        <w:t>Información del Ente Público</w:t>
      </w:r>
    </w:p>
    <w:tbl>
      <w:tblPr>
        <w:tblStyle w:val="Tablanormal1"/>
        <w:tblW w:w="0" w:type="auto"/>
        <w:tblLook w:val="04A0" w:firstRow="1" w:lastRow="0" w:firstColumn="1" w:lastColumn="0" w:noHBand="0" w:noVBand="1"/>
      </w:tblPr>
      <w:tblGrid>
        <w:gridCol w:w="3114"/>
        <w:gridCol w:w="6371"/>
      </w:tblGrid>
      <w:tr w:rsidR="00532232" w14:paraId="255BCBC9" w14:textId="77777777" w:rsidTr="00532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32E8DC" w14:textId="7F64853A" w:rsidR="00532232" w:rsidRPr="00177D14" w:rsidRDefault="00532232" w:rsidP="00532232">
            <w:pPr>
              <w:spacing w:before="100" w:after="100" w:line="240" w:lineRule="auto"/>
              <w:jc w:val="right"/>
              <w:rPr>
                <w:b w:val="0"/>
                <w:i/>
                <w:color w:val="000000" w:themeColor="text1"/>
              </w:rPr>
            </w:pPr>
            <w:r w:rsidRPr="00177D14">
              <w:rPr>
                <w:b w:val="0"/>
                <w:i/>
                <w:color w:val="000000" w:themeColor="text1"/>
              </w:rPr>
              <w:t>Ente Público</w:t>
            </w:r>
          </w:p>
        </w:tc>
        <w:tc>
          <w:tcPr>
            <w:tcW w:w="6371" w:type="dxa"/>
          </w:tcPr>
          <w:p w14:paraId="311C4A51" w14:textId="69A015BA" w:rsidR="00532232" w:rsidRPr="00177D14" w:rsidRDefault="00532232" w:rsidP="00532232">
            <w:pPr>
              <w:spacing w:before="100" w:after="100" w:line="240"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177D14">
              <w:rPr>
                <w:color w:val="000000" w:themeColor="text1"/>
              </w:rPr>
              <w:t>Instituto de Pensiones del Estado de Sinaloa</w:t>
            </w:r>
          </w:p>
        </w:tc>
      </w:tr>
      <w:tr w:rsidR="00532232" w14:paraId="32F04336" w14:textId="77777777" w:rsidTr="00532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A5A700" w14:textId="77037871" w:rsidR="00532232" w:rsidRPr="00177D14" w:rsidRDefault="00532232" w:rsidP="00532232">
            <w:pPr>
              <w:spacing w:before="100" w:after="100" w:line="240" w:lineRule="auto"/>
              <w:jc w:val="right"/>
              <w:rPr>
                <w:b w:val="0"/>
                <w:i/>
                <w:color w:val="000000" w:themeColor="text1"/>
              </w:rPr>
            </w:pPr>
            <w:r w:rsidRPr="00177D14">
              <w:rPr>
                <w:b w:val="0"/>
                <w:i/>
                <w:color w:val="000000" w:themeColor="text1"/>
              </w:rPr>
              <w:t>Presidente del Subcomité</w:t>
            </w:r>
          </w:p>
        </w:tc>
        <w:tc>
          <w:tcPr>
            <w:tcW w:w="6371" w:type="dxa"/>
          </w:tcPr>
          <w:p w14:paraId="670481B1" w14:textId="0697E0D9" w:rsidR="00532232" w:rsidRPr="00532232" w:rsidRDefault="00532232" w:rsidP="00532232">
            <w:pPr>
              <w:spacing w:before="100" w:after="100" w:line="240" w:lineRule="auto"/>
              <w:cnfStyle w:val="000000100000" w:firstRow="0" w:lastRow="0" w:firstColumn="0" w:lastColumn="0" w:oddVBand="0" w:evenVBand="0" w:oddHBand="1" w:evenHBand="0" w:firstRowFirstColumn="0" w:firstRowLastColumn="0" w:lastRowFirstColumn="0" w:lastRowLastColumn="0"/>
              <w:rPr>
                <w:b/>
                <w:color w:val="000000" w:themeColor="text1"/>
              </w:rPr>
            </w:pPr>
            <w:r w:rsidRPr="00532232">
              <w:rPr>
                <w:b/>
                <w:color w:val="000000" w:themeColor="text1"/>
              </w:rPr>
              <w:t>Lic. Julio Guadalupe Sánchez Aguilar</w:t>
            </w:r>
          </w:p>
        </w:tc>
      </w:tr>
      <w:tr w:rsidR="00532232" w14:paraId="2473EDBB" w14:textId="77777777" w:rsidTr="00532232">
        <w:tc>
          <w:tcPr>
            <w:cnfStyle w:val="001000000000" w:firstRow="0" w:lastRow="0" w:firstColumn="1" w:lastColumn="0" w:oddVBand="0" w:evenVBand="0" w:oddHBand="0" w:evenHBand="0" w:firstRowFirstColumn="0" w:firstRowLastColumn="0" w:lastRowFirstColumn="0" w:lastRowLastColumn="0"/>
            <w:tcW w:w="3114" w:type="dxa"/>
          </w:tcPr>
          <w:p w14:paraId="464F3546" w14:textId="16A87C87" w:rsidR="00532232" w:rsidRPr="00177D14" w:rsidRDefault="00532232" w:rsidP="00532232">
            <w:pPr>
              <w:spacing w:before="100" w:after="100" w:line="240" w:lineRule="auto"/>
              <w:jc w:val="right"/>
              <w:rPr>
                <w:b w:val="0"/>
                <w:i/>
                <w:color w:val="000000" w:themeColor="text1"/>
              </w:rPr>
            </w:pPr>
            <w:r w:rsidRPr="00177D14">
              <w:rPr>
                <w:b w:val="0"/>
                <w:i/>
                <w:color w:val="000000" w:themeColor="text1"/>
              </w:rPr>
              <w:t>Facilitador Institucional</w:t>
            </w:r>
          </w:p>
        </w:tc>
        <w:tc>
          <w:tcPr>
            <w:tcW w:w="6371" w:type="dxa"/>
          </w:tcPr>
          <w:p w14:paraId="67BBA348" w14:textId="2CC1C9D6" w:rsidR="00532232" w:rsidRPr="00532232" w:rsidRDefault="009257E1" w:rsidP="00532232">
            <w:pPr>
              <w:spacing w:before="100" w:after="100" w:line="240" w:lineRule="auto"/>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Ing. Erick Saddam Gámez Sánchez</w:t>
            </w:r>
          </w:p>
        </w:tc>
      </w:tr>
      <w:tr w:rsidR="00532232" w14:paraId="3C3B0D46" w14:textId="77777777" w:rsidTr="00532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73D9FB" w14:textId="54423162" w:rsidR="00532232" w:rsidRPr="00177D14" w:rsidRDefault="00532232" w:rsidP="00532232">
            <w:pPr>
              <w:spacing w:before="100" w:after="100" w:line="240" w:lineRule="auto"/>
              <w:jc w:val="right"/>
              <w:rPr>
                <w:b w:val="0"/>
                <w:i/>
                <w:color w:val="000000" w:themeColor="text1"/>
              </w:rPr>
            </w:pPr>
            <w:r w:rsidRPr="00177D14">
              <w:rPr>
                <w:b w:val="0"/>
                <w:i/>
                <w:color w:val="000000" w:themeColor="text1"/>
              </w:rPr>
              <w:t>Administrador de Datos</w:t>
            </w:r>
          </w:p>
        </w:tc>
        <w:tc>
          <w:tcPr>
            <w:tcW w:w="6371" w:type="dxa"/>
          </w:tcPr>
          <w:p w14:paraId="0D7E2AC2" w14:textId="436518B5" w:rsidR="00532232" w:rsidRPr="00532232" w:rsidRDefault="00532232" w:rsidP="001F0857">
            <w:pPr>
              <w:spacing w:before="100" w:after="100" w:line="240" w:lineRule="auto"/>
              <w:cnfStyle w:val="000000100000" w:firstRow="0" w:lastRow="0" w:firstColumn="0" w:lastColumn="0" w:oddVBand="0" w:evenVBand="0" w:oddHBand="1" w:evenHBand="0" w:firstRowFirstColumn="0" w:firstRowLastColumn="0" w:lastRowFirstColumn="0" w:lastRowLastColumn="0"/>
              <w:rPr>
                <w:b/>
                <w:color w:val="000000" w:themeColor="text1"/>
              </w:rPr>
            </w:pPr>
            <w:r w:rsidRPr="00532232">
              <w:rPr>
                <w:b/>
                <w:color w:val="000000" w:themeColor="text1"/>
              </w:rPr>
              <w:t xml:space="preserve">Lic. </w:t>
            </w:r>
            <w:r w:rsidR="001F0857">
              <w:rPr>
                <w:b/>
                <w:color w:val="000000" w:themeColor="text1"/>
              </w:rPr>
              <w:t>Ana Karen Duarte Villa</w:t>
            </w:r>
          </w:p>
        </w:tc>
      </w:tr>
      <w:tr w:rsidR="00532232" w14:paraId="09D141C4" w14:textId="77777777" w:rsidTr="00532232">
        <w:tc>
          <w:tcPr>
            <w:cnfStyle w:val="001000000000" w:firstRow="0" w:lastRow="0" w:firstColumn="1" w:lastColumn="0" w:oddVBand="0" w:evenVBand="0" w:oddHBand="0" w:evenHBand="0" w:firstRowFirstColumn="0" w:firstRowLastColumn="0" w:lastRowFirstColumn="0" w:lastRowLastColumn="0"/>
            <w:tcW w:w="3114" w:type="dxa"/>
          </w:tcPr>
          <w:p w14:paraId="40790421" w14:textId="6DDF336E" w:rsidR="00532232" w:rsidRPr="00177D14" w:rsidRDefault="00532232" w:rsidP="00532232">
            <w:pPr>
              <w:spacing w:before="100" w:after="100" w:line="240" w:lineRule="auto"/>
              <w:jc w:val="right"/>
              <w:rPr>
                <w:b w:val="0"/>
                <w:i/>
                <w:color w:val="000000" w:themeColor="text1"/>
              </w:rPr>
            </w:pPr>
            <w:r w:rsidRPr="00177D14">
              <w:rPr>
                <w:b w:val="0"/>
                <w:i/>
                <w:color w:val="000000" w:themeColor="text1"/>
              </w:rPr>
              <w:t>Enlace Institucional</w:t>
            </w:r>
          </w:p>
        </w:tc>
        <w:tc>
          <w:tcPr>
            <w:tcW w:w="6371" w:type="dxa"/>
          </w:tcPr>
          <w:p w14:paraId="7DA04DB0" w14:textId="5D24AD52" w:rsidR="00532232" w:rsidRPr="00532232" w:rsidRDefault="00532232" w:rsidP="00532232">
            <w:pPr>
              <w:spacing w:before="100" w:after="100" w:line="240" w:lineRule="auto"/>
              <w:cnfStyle w:val="000000000000" w:firstRow="0" w:lastRow="0" w:firstColumn="0" w:lastColumn="0" w:oddVBand="0" w:evenVBand="0" w:oddHBand="0" w:evenHBand="0" w:firstRowFirstColumn="0" w:firstRowLastColumn="0" w:lastRowFirstColumn="0" w:lastRowLastColumn="0"/>
              <w:rPr>
                <w:b/>
                <w:color w:val="000000" w:themeColor="text1"/>
              </w:rPr>
            </w:pPr>
            <w:r w:rsidRPr="00532232">
              <w:rPr>
                <w:b/>
                <w:color w:val="000000" w:themeColor="text1"/>
              </w:rPr>
              <w:t xml:space="preserve">Lic. Karla María </w:t>
            </w:r>
            <w:proofErr w:type="spellStart"/>
            <w:r w:rsidRPr="00532232">
              <w:rPr>
                <w:b/>
                <w:color w:val="000000" w:themeColor="text1"/>
              </w:rPr>
              <w:t>Gastélum</w:t>
            </w:r>
            <w:proofErr w:type="spellEnd"/>
            <w:r>
              <w:rPr>
                <w:b/>
                <w:color w:val="000000" w:themeColor="text1"/>
              </w:rPr>
              <w:t xml:space="preserve"> Morales</w:t>
            </w:r>
          </w:p>
        </w:tc>
      </w:tr>
    </w:tbl>
    <w:p w14:paraId="4F87AB51" w14:textId="77777777" w:rsidR="00532232" w:rsidRPr="00532232" w:rsidRDefault="00532232" w:rsidP="00532232">
      <w:pPr>
        <w:pBdr>
          <w:top w:val="nil"/>
          <w:left w:val="nil"/>
          <w:bottom w:val="nil"/>
          <w:right w:val="nil"/>
          <w:between w:val="nil"/>
        </w:pBdr>
        <w:spacing w:before="100" w:after="100" w:line="240" w:lineRule="auto"/>
        <w:rPr>
          <w:b/>
          <w:color w:val="000000" w:themeColor="text1"/>
          <w:sz w:val="22"/>
          <w:szCs w:val="22"/>
        </w:rPr>
      </w:pPr>
    </w:p>
    <w:p w14:paraId="23B63CE4" w14:textId="77777777" w:rsidR="00250F2E" w:rsidRPr="008010AA" w:rsidRDefault="00250F2E" w:rsidP="00250F2E">
      <w:pPr>
        <w:pBdr>
          <w:top w:val="nil"/>
          <w:left w:val="nil"/>
          <w:bottom w:val="nil"/>
          <w:right w:val="nil"/>
          <w:between w:val="nil"/>
        </w:pBdr>
        <w:spacing w:before="100" w:after="0" w:line="240" w:lineRule="auto"/>
        <w:jc w:val="both"/>
        <w:rPr>
          <w:b/>
          <w:color w:val="000000" w:themeColor="text1"/>
          <w:sz w:val="22"/>
          <w:szCs w:val="22"/>
        </w:rPr>
      </w:pPr>
      <w:r w:rsidRPr="008010AA">
        <w:rPr>
          <w:b/>
          <w:color w:val="000000" w:themeColor="text1"/>
          <w:sz w:val="22"/>
          <w:szCs w:val="22"/>
        </w:rPr>
        <w:t xml:space="preserve">Objetivo General </w:t>
      </w:r>
    </w:p>
    <w:p w14:paraId="214ACEDF" w14:textId="77777777" w:rsidR="00250F2E" w:rsidRPr="008010AA" w:rsidRDefault="00250F2E" w:rsidP="00250F2E">
      <w:pPr>
        <w:shd w:val="clear" w:color="auto" w:fill="FFFFFF"/>
        <w:spacing w:after="0" w:line="240" w:lineRule="auto"/>
        <w:jc w:val="both"/>
        <w:rPr>
          <w:color w:val="000000" w:themeColor="text1"/>
          <w:sz w:val="22"/>
          <w:szCs w:val="22"/>
        </w:rPr>
      </w:pPr>
      <w:r w:rsidRPr="008010AA">
        <w:rPr>
          <w:color w:val="000000" w:themeColor="text1"/>
          <w:sz w:val="22"/>
          <w:szCs w:val="22"/>
        </w:rPr>
        <w:t>Contribuir en la promoción de mecanismos de transparencia, en el marco de una política de datos abiertos de la Administración Pública del Estado de Sinaloa, propiciando la participación ciudadana en el uso y aprovechamiento de las tecnologías de la información y comunicación, para conocer de los asuntos públicos.</w:t>
      </w:r>
    </w:p>
    <w:p w14:paraId="4DEF04E5" w14:textId="77777777" w:rsidR="00250F2E" w:rsidRPr="008010AA" w:rsidRDefault="00250F2E" w:rsidP="00250F2E">
      <w:pPr>
        <w:shd w:val="clear" w:color="auto" w:fill="FFFFFF"/>
        <w:spacing w:after="0" w:line="240" w:lineRule="auto"/>
        <w:jc w:val="both"/>
        <w:rPr>
          <w:color w:val="000000" w:themeColor="text1"/>
          <w:sz w:val="22"/>
          <w:szCs w:val="22"/>
        </w:rPr>
      </w:pPr>
    </w:p>
    <w:p w14:paraId="659BB4C2" w14:textId="77777777" w:rsidR="00250F2E" w:rsidRPr="008010AA" w:rsidRDefault="00250F2E" w:rsidP="00250F2E">
      <w:pPr>
        <w:shd w:val="clear" w:color="auto" w:fill="FFFFFF"/>
        <w:spacing w:after="0" w:line="240" w:lineRule="auto"/>
        <w:jc w:val="both"/>
        <w:rPr>
          <w:b/>
          <w:color w:val="000000" w:themeColor="text1"/>
          <w:sz w:val="22"/>
          <w:szCs w:val="22"/>
        </w:rPr>
      </w:pPr>
      <w:r w:rsidRPr="008010AA">
        <w:rPr>
          <w:b/>
          <w:color w:val="000000" w:themeColor="text1"/>
          <w:sz w:val="22"/>
          <w:szCs w:val="22"/>
        </w:rPr>
        <w:t>Objetivo Especifico</w:t>
      </w:r>
    </w:p>
    <w:p w14:paraId="21726213" w14:textId="77777777" w:rsidR="00250F2E" w:rsidRPr="008010AA" w:rsidRDefault="00250F2E" w:rsidP="00250F2E">
      <w:pPr>
        <w:shd w:val="clear" w:color="auto" w:fill="FFFFFF"/>
        <w:spacing w:after="0" w:line="240" w:lineRule="auto"/>
        <w:jc w:val="both"/>
        <w:rPr>
          <w:color w:val="000000" w:themeColor="text1"/>
          <w:sz w:val="22"/>
          <w:szCs w:val="22"/>
        </w:rPr>
      </w:pPr>
      <w:r w:rsidRPr="008010AA">
        <w:rPr>
          <w:color w:val="000000" w:themeColor="text1"/>
          <w:sz w:val="22"/>
          <w:szCs w:val="22"/>
        </w:rPr>
        <w:t>Facilitar a la sociedad sinaloense el acceso, uso, reutilización y distribución de los datos de carácter público generados, informando de manera transparente los resultados en la gestión pública del Instituto de Pensiones del Estado de Sinaloa a través de su portal de datos abiertos, previendo el respeto a la privacidad y protección de datos personales, de conformidad con la Ley de Protección de Datos Personales.</w:t>
      </w:r>
    </w:p>
    <w:p w14:paraId="3C294673" w14:textId="77777777" w:rsidR="00250F2E" w:rsidRPr="008010AA" w:rsidRDefault="00250F2E" w:rsidP="00250F2E">
      <w:pPr>
        <w:pBdr>
          <w:top w:val="nil"/>
          <w:left w:val="nil"/>
          <w:bottom w:val="nil"/>
          <w:right w:val="nil"/>
          <w:between w:val="nil"/>
        </w:pBdr>
        <w:spacing w:before="100" w:after="100" w:line="240" w:lineRule="auto"/>
        <w:jc w:val="both"/>
        <w:rPr>
          <w:b/>
          <w:color w:val="000000" w:themeColor="text1"/>
          <w:sz w:val="22"/>
          <w:szCs w:val="22"/>
        </w:rPr>
      </w:pPr>
    </w:p>
    <w:p w14:paraId="16807190" w14:textId="52720F55" w:rsidR="00250F2E" w:rsidRPr="008010AA" w:rsidRDefault="00250F2E" w:rsidP="00250F2E">
      <w:pPr>
        <w:pBdr>
          <w:top w:val="nil"/>
          <w:left w:val="nil"/>
          <w:bottom w:val="nil"/>
          <w:right w:val="nil"/>
          <w:between w:val="nil"/>
        </w:pBdr>
        <w:spacing w:before="100" w:after="0" w:line="240" w:lineRule="auto"/>
        <w:jc w:val="both"/>
        <w:rPr>
          <w:b/>
          <w:i/>
          <w:color w:val="000000" w:themeColor="text1"/>
          <w:sz w:val="22"/>
          <w:szCs w:val="22"/>
        </w:rPr>
      </w:pPr>
      <w:r w:rsidRPr="008010AA">
        <w:rPr>
          <w:b/>
          <w:color w:val="000000" w:themeColor="text1"/>
          <w:sz w:val="22"/>
          <w:szCs w:val="22"/>
        </w:rPr>
        <w:t>Acciones a realizarse durante el ejercicio 202</w:t>
      </w:r>
      <w:r w:rsidR="009257E1">
        <w:rPr>
          <w:b/>
          <w:color w:val="000000" w:themeColor="text1"/>
          <w:sz w:val="22"/>
          <w:szCs w:val="22"/>
        </w:rPr>
        <w:t>5</w:t>
      </w:r>
      <w:r w:rsidRPr="008010AA">
        <w:rPr>
          <w:b/>
          <w:i/>
          <w:color w:val="000000" w:themeColor="text1"/>
          <w:sz w:val="22"/>
          <w:szCs w:val="22"/>
        </w:rPr>
        <w:t>.</w:t>
      </w:r>
    </w:p>
    <w:p w14:paraId="5891553D" w14:textId="77777777" w:rsidR="00250F2E" w:rsidRPr="008010AA" w:rsidRDefault="00250F2E" w:rsidP="00250F2E">
      <w:pPr>
        <w:pBdr>
          <w:top w:val="nil"/>
          <w:left w:val="nil"/>
          <w:bottom w:val="nil"/>
          <w:right w:val="nil"/>
          <w:between w:val="nil"/>
        </w:pBdr>
        <w:spacing w:before="100" w:after="0" w:line="240" w:lineRule="auto"/>
        <w:jc w:val="both"/>
        <w:rPr>
          <w:b/>
          <w:i/>
          <w:color w:val="000000" w:themeColor="text1"/>
          <w:sz w:val="22"/>
          <w:szCs w:val="22"/>
        </w:rPr>
      </w:pPr>
    </w:p>
    <w:p w14:paraId="5A7FDA47" w14:textId="50F24B30" w:rsidR="00250F2E" w:rsidRPr="008010AA" w:rsidRDefault="00250F2E" w:rsidP="00250F2E">
      <w:pPr>
        <w:pStyle w:val="Prrafodelista"/>
        <w:numPr>
          <w:ilvl w:val="0"/>
          <w:numId w:val="5"/>
        </w:numPr>
        <w:pBdr>
          <w:top w:val="nil"/>
          <w:left w:val="nil"/>
          <w:bottom w:val="nil"/>
          <w:right w:val="nil"/>
          <w:between w:val="nil"/>
        </w:pBdr>
        <w:spacing w:before="100" w:after="0" w:line="240" w:lineRule="auto"/>
        <w:ind w:left="993"/>
        <w:jc w:val="both"/>
        <w:rPr>
          <w:color w:val="000000" w:themeColor="text1"/>
          <w:sz w:val="22"/>
          <w:szCs w:val="22"/>
        </w:rPr>
      </w:pPr>
      <w:r w:rsidRPr="008010AA">
        <w:rPr>
          <w:color w:val="000000" w:themeColor="text1"/>
          <w:sz w:val="22"/>
          <w:szCs w:val="22"/>
        </w:rPr>
        <w:t>Publicar Datos Abiertos correspondiente al Segundo Semestre 202</w:t>
      </w:r>
      <w:r w:rsidR="00565A74">
        <w:rPr>
          <w:color w:val="000000" w:themeColor="text1"/>
          <w:sz w:val="22"/>
          <w:szCs w:val="22"/>
        </w:rPr>
        <w:t>4</w:t>
      </w:r>
      <w:r w:rsidRPr="008010AA">
        <w:rPr>
          <w:color w:val="000000" w:themeColor="text1"/>
          <w:sz w:val="22"/>
          <w:szCs w:val="22"/>
        </w:rPr>
        <w:t>.</w:t>
      </w:r>
    </w:p>
    <w:p w14:paraId="75E5BCD1" w14:textId="5215BB03" w:rsidR="00250F2E" w:rsidRPr="008010AA" w:rsidRDefault="00250F2E" w:rsidP="00250F2E">
      <w:pPr>
        <w:pStyle w:val="Prrafodelista"/>
        <w:numPr>
          <w:ilvl w:val="0"/>
          <w:numId w:val="5"/>
        </w:numPr>
        <w:pBdr>
          <w:top w:val="nil"/>
          <w:left w:val="nil"/>
          <w:bottom w:val="nil"/>
          <w:right w:val="nil"/>
          <w:between w:val="nil"/>
        </w:pBdr>
        <w:spacing w:before="100" w:after="0" w:line="240" w:lineRule="auto"/>
        <w:ind w:left="993"/>
        <w:jc w:val="both"/>
        <w:rPr>
          <w:color w:val="000000" w:themeColor="text1"/>
          <w:sz w:val="22"/>
          <w:szCs w:val="22"/>
        </w:rPr>
      </w:pPr>
      <w:r w:rsidRPr="008010AA">
        <w:rPr>
          <w:color w:val="000000" w:themeColor="text1"/>
          <w:sz w:val="22"/>
          <w:szCs w:val="22"/>
        </w:rPr>
        <w:t>Someter a revisión y autorización por parte del Subcomité, el catálogo de Datos Abiertos para establecer la información que será objeto del Programa Anual de Datos Abiertos 202</w:t>
      </w:r>
      <w:r w:rsidR="00565A74">
        <w:rPr>
          <w:color w:val="000000" w:themeColor="text1"/>
          <w:sz w:val="22"/>
          <w:szCs w:val="22"/>
        </w:rPr>
        <w:t>5</w:t>
      </w:r>
      <w:r w:rsidRPr="008010AA">
        <w:rPr>
          <w:color w:val="000000" w:themeColor="text1"/>
          <w:sz w:val="22"/>
          <w:szCs w:val="22"/>
        </w:rPr>
        <w:t xml:space="preserve">. </w:t>
      </w:r>
    </w:p>
    <w:p w14:paraId="098994C4" w14:textId="6D7CD356" w:rsidR="00250F2E" w:rsidRPr="008010AA" w:rsidRDefault="00250F2E" w:rsidP="00250F2E">
      <w:pPr>
        <w:pStyle w:val="Prrafodelista"/>
        <w:numPr>
          <w:ilvl w:val="0"/>
          <w:numId w:val="5"/>
        </w:numPr>
        <w:pBdr>
          <w:top w:val="nil"/>
          <w:left w:val="nil"/>
          <w:bottom w:val="nil"/>
          <w:right w:val="nil"/>
          <w:between w:val="nil"/>
        </w:pBdr>
        <w:spacing w:before="100" w:after="0" w:line="240" w:lineRule="auto"/>
        <w:ind w:left="993"/>
        <w:jc w:val="both"/>
        <w:rPr>
          <w:color w:val="000000" w:themeColor="text1"/>
          <w:sz w:val="22"/>
          <w:szCs w:val="22"/>
        </w:rPr>
      </w:pPr>
      <w:r w:rsidRPr="008010AA">
        <w:rPr>
          <w:color w:val="000000" w:themeColor="text1"/>
          <w:sz w:val="22"/>
          <w:szCs w:val="22"/>
        </w:rPr>
        <w:t>Elaborar el Programa Anual de Datos Abiertos 202</w:t>
      </w:r>
      <w:r w:rsidR="00565A74">
        <w:rPr>
          <w:color w:val="000000" w:themeColor="text1"/>
          <w:sz w:val="22"/>
          <w:szCs w:val="22"/>
        </w:rPr>
        <w:t>5</w:t>
      </w:r>
      <w:r w:rsidRPr="008010AA">
        <w:rPr>
          <w:color w:val="000000" w:themeColor="text1"/>
          <w:sz w:val="22"/>
          <w:szCs w:val="22"/>
        </w:rPr>
        <w:t xml:space="preserve"> del Instituto de Pensiones del Estado de Sinaloa y enviarlo para su aprobación al Comité de Datos Abiertos de la Administración Pública del Estado de Sinaloa.</w:t>
      </w:r>
    </w:p>
    <w:p w14:paraId="113B7F43" w14:textId="5287FCA2" w:rsidR="00FF47A3" w:rsidRPr="008010AA" w:rsidRDefault="00250F2E" w:rsidP="00DA781D">
      <w:pPr>
        <w:pStyle w:val="Prrafodelista"/>
        <w:numPr>
          <w:ilvl w:val="0"/>
          <w:numId w:val="5"/>
        </w:numPr>
        <w:pBdr>
          <w:top w:val="nil"/>
          <w:left w:val="nil"/>
          <w:bottom w:val="nil"/>
          <w:right w:val="nil"/>
          <w:between w:val="nil"/>
        </w:pBdr>
        <w:spacing w:before="100" w:after="0" w:line="240" w:lineRule="auto"/>
        <w:ind w:left="993"/>
        <w:jc w:val="both"/>
        <w:rPr>
          <w:color w:val="000000" w:themeColor="text1"/>
          <w:sz w:val="22"/>
          <w:szCs w:val="22"/>
        </w:rPr>
      </w:pPr>
      <w:r w:rsidRPr="008010AA">
        <w:rPr>
          <w:color w:val="000000" w:themeColor="text1"/>
          <w:sz w:val="22"/>
          <w:szCs w:val="22"/>
        </w:rPr>
        <w:t>Publicar el Programa Anual de Datos Abiertos 202</w:t>
      </w:r>
      <w:r w:rsidR="00565A74">
        <w:rPr>
          <w:color w:val="000000" w:themeColor="text1"/>
          <w:sz w:val="22"/>
          <w:szCs w:val="22"/>
        </w:rPr>
        <w:t>5</w:t>
      </w:r>
      <w:r w:rsidRPr="008010AA">
        <w:rPr>
          <w:color w:val="000000" w:themeColor="text1"/>
          <w:sz w:val="22"/>
          <w:szCs w:val="22"/>
        </w:rPr>
        <w:t xml:space="preserve"> del Instituto de Pensiones del Estado de Sinaloa.</w:t>
      </w:r>
      <w:bookmarkStart w:id="0" w:name="_1fob9te" w:colFirst="0" w:colLast="0"/>
      <w:bookmarkStart w:id="1" w:name="_2et92p0" w:colFirst="0" w:colLast="0"/>
      <w:bookmarkEnd w:id="0"/>
      <w:bookmarkEnd w:id="1"/>
    </w:p>
    <w:p w14:paraId="13211277" w14:textId="77777777" w:rsidR="00DA781D" w:rsidRPr="008010AA" w:rsidRDefault="00DA781D" w:rsidP="00DA781D">
      <w:pPr>
        <w:pBdr>
          <w:top w:val="nil"/>
          <w:left w:val="nil"/>
          <w:bottom w:val="nil"/>
          <w:right w:val="nil"/>
          <w:between w:val="nil"/>
        </w:pBdr>
        <w:spacing w:before="100" w:after="0" w:line="240" w:lineRule="auto"/>
        <w:ind w:left="633"/>
        <w:jc w:val="both"/>
        <w:rPr>
          <w:color w:val="000000" w:themeColor="text1"/>
          <w:sz w:val="22"/>
          <w:szCs w:val="22"/>
        </w:rPr>
      </w:pPr>
    </w:p>
    <w:p w14:paraId="7819E39A" w14:textId="3261B1C8" w:rsidR="00DA781D" w:rsidRPr="008010AA" w:rsidRDefault="00250F2E" w:rsidP="00DA781D">
      <w:pPr>
        <w:pStyle w:val="Prrafodelista"/>
        <w:numPr>
          <w:ilvl w:val="0"/>
          <w:numId w:val="8"/>
        </w:numPr>
        <w:pBdr>
          <w:top w:val="nil"/>
          <w:left w:val="nil"/>
          <w:bottom w:val="nil"/>
          <w:right w:val="nil"/>
          <w:between w:val="nil"/>
        </w:pBdr>
        <w:spacing w:before="100" w:after="100" w:line="240" w:lineRule="auto"/>
        <w:rPr>
          <w:b/>
          <w:color w:val="000000" w:themeColor="text1"/>
          <w:sz w:val="22"/>
          <w:szCs w:val="22"/>
        </w:rPr>
      </w:pPr>
      <w:r w:rsidRPr="008010AA">
        <w:rPr>
          <w:b/>
          <w:color w:val="000000" w:themeColor="text1"/>
          <w:sz w:val="22"/>
          <w:szCs w:val="22"/>
        </w:rPr>
        <w:t xml:space="preserve">Listado de conjuntos de datos por tema, que se publicarán en el sitio de internet </w:t>
      </w:r>
    </w:p>
    <w:p w14:paraId="68EE257D" w14:textId="77777777" w:rsidR="00DA781D" w:rsidRPr="008010AA" w:rsidRDefault="00DA781D" w:rsidP="00DA781D">
      <w:pPr>
        <w:pStyle w:val="Prrafodelista"/>
        <w:pBdr>
          <w:top w:val="nil"/>
          <w:left w:val="nil"/>
          <w:bottom w:val="nil"/>
          <w:right w:val="nil"/>
          <w:between w:val="nil"/>
        </w:pBdr>
        <w:spacing w:before="100" w:after="100" w:line="240" w:lineRule="auto"/>
        <w:ind w:left="1080"/>
        <w:rPr>
          <w:b/>
          <w:color w:val="000000" w:themeColor="text1"/>
          <w:sz w:val="22"/>
          <w:szCs w:val="22"/>
        </w:rPr>
      </w:pPr>
    </w:p>
    <w:p w14:paraId="2D316CC5" w14:textId="77777777" w:rsidR="00250F2E" w:rsidRDefault="007753EC" w:rsidP="00250F2E">
      <w:pPr>
        <w:pBdr>
          <w:top w:val="nil"/>
          <w:left w:val="nil"/>
          <w:bottom w:val="nil"/>
          <w:right w:val="nil"/>
          <w:between w:val="nil"/>
        </w:pBdr>
        <w:spacing w:before="100" w:after="100" w:line="240" w:lineRule="auto"/>
        <w:rPr>
          <w:rStyle w:val="Hipervnculo"/>
          <w:sz w:val="22"/>
          <w:szCs w:val="22"/>
        </w:rPr>
      </w:pPr>
      <w:hyperlink r:id="rId8" w:history="1">
        <w:r w:rsidR="00250F2E" w:rsidRPr="008010AA">
          <w:rPr>
            <w:rStyle w:val="Hipervnculo"/>
            <w:sz w:val="22"/>
            <w:szCs w:val="22"/>
          </w:rPr>
          <w:t>https://transparencia.sinaloa.gob.mx/p/datos-abiertos</w:t>
        </w:r>
      </w:hyperlink>
    </w:p>
    <w:p w14:paraId="6809916D" w14:textId="77777777" w:rsidR="001163DB" w:rsidRDefault="001163DB" w:rsidP="00250F2E">
      <w:pPr>
        <w:pBdr>
          <w:top w:val="nil"/>
          <w:left w:val="nil"/>
          <w:bottom w:val="nil"/>
          <w:right w:val="nil"/>
          <w:between w:val="nil"/>
        </w:pBdr>
        <w:spacing w:before="100" w:after="100" w:line="240" w:lineRule="auto"/>
        <w:rPr>
          <w:rStyle w:val="Hipervnculo"/>
          <w:sz w:val="22"/>
          <w:szCs w:val="22"/>
        </w:rPr>
      </w:pPr>
    </w:p>
    <w:p w14:paraId="006E636B" w14:textId="77777777" w:rsidR="001163DB" w:rsidRDefault="001163DB" w:rsidP="00250F2E">
      <w:pPr>
        <w:pBdr>
          <w:top w:val="nil"/>
          <w:left w:val="nil"/>
          <w:bottom w:val="nil"/>
          <w:right w:val="nil"/>
          <w:between w:val="nil"/>
        </w:pBdr>
        <w:spacing w:before="100" w:after="100" w:line="240" w:lineRule="auto"/>
        <w:rPr>
          <w:rStyle w:val="Hipervnculo"/>
          <w:sz w:val="22"/>
          <w:szCs w:val="22"/>
        </w:rPr>
      </w:pPr>
    </w:p>
    <w:p w14:paraId="25E8A111" w14:textId="77777777" w:rsidR="001163DB" w:rsidRDefault="001163DB" w:rsidP="00250F2E">
      <w:pPr>
        <w:pBdr>
          <w:top w:val="nil"/>
          <w:left w:val="nil"/>
          <w:bottom w:val="nil"/>
          <w:right w:val="nil"/>
          <w:between w:val="nil"/>
        </w:pBdr>
        <w:spacing w:before="100" w:after="100" w:line="240" w:lineRule="auto"/>
        <w:rPr>
          <w:rStyle w:val="Hipervnculo"/>
          <w:sz w:val="22"/>
          <w:szCs w:val="22"/>
        </w:rPr>
      </w:pPr>
    </w:p>
    <w:tbl>
      <w:tblPr>
        <w:tblStyle w:val="Tablanormal1"/>
        <w:tblW w:w="0" w:type="auto"/>
        <w:tblLook w:val="04A0" w:firstRow="1" w:lastRow="0" w:firstColumn="1" w:lastColumn="0" w:noHBand="0" w:noVBand="1"/>
      </w:tblPr>
      <w:tblGrid>
        <w:gridCol w:w="4390"/>
        <w:gridCol w:w="2693"/>
        <w:gridCol w:w="2402"/>
      </w:tblGrid>
      <w:tr w:rsidR="001163DB" w:rsidRPr="00C732B8" w14:paraId="615A6C92" w14:textId="77777777" w:rsidTr="000F3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9F0FD94" w14:textId="5D8DB7D1" w:rsidR="001163DB" w:rsidRPr="00C732B8" w:rsidRDefault="001163DB" w:rsidP="001163DB">
            <w:pPr>
              <w:spacing w:before="100" w:after="100" w:line="240" w:lineRule="auto"/>
              <w:jc w:val="center"/>
              <w:rPr>
                <w:rStyle w:val="Hipervnculo"/>
                <w:color w:val="000000" w:themeColor="text1"/>
                <w:u w:val="none"/>
              </w:rPr>
            </w:pPr>
            <w:r w:rsidRPr="00C732B8">
              <w:rPr>
                <w:rStyle w:val="Hipervnculo"/>
                <w:color w:val="000000" w:themeColor="text1"/>
                <w:u w:val="none"/>
              </w:rPr>
              <w:t>Dato</w:t>
            </w:r>
          </w:p>
        </w:tc>
        <w:tc>
          <w:tcPr>
            <w:tcW w:w="2693" w:type="dxa"/>
          </w:tcPr>
          <w:p w14:paraId="3D3CEBCF" w14:textId="0C17222C" w:rsidR="001163DB" w:rsidRPr="00C732B8" w:rsidRDefault="001163DB" w:rsidP="001163DB">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rStyle w:val="Hipervnculo"/>
                <w:color w:val="000000" w:themeColor="text1"/>
                <w:u w:val="none"/>
              </w:rPr>
            </w:pPr>
            <w:r w:rsidRPr="00C732B8">
              <w:rPr>
                <w:rStyle w:val="Hipervnculo"/>
                <w:color w:val="000000" w:themeColor="text1"/>
                <w:u w:val="none"/>
              </w:rPr>
              <w:t>Fecha estimada de publicación</w:t>
            </w:r>
          </w:p>
        </w:tc>
        <w:tc>
          <w:tcPr>
            <w:tcW w:w="2402" w:type="dxa"/>
          </w:tcPr>
          <w:p w14:paraId="652F4441" w14:textId="660614F5" w:rsidR="001163DB" w:rsidRPr="00C732B8" w:rsidRDefault="001163DB" w:rsidP="001163DB">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rStyle w:val="Hipervnculo"/>
                <w:color w:val="000000" w:themeColor="text1"/>
                <w:u w:val="none"/>
              </w:rPr>
            </w:pPr>
            <w:r w:rsidRPr="00C732B8">
              <w:rPr>
                <w:rStyle w:val="Hipervnculo"/>
                <w:color w:val="000000" w:themeColor="text1"/>
                <w:u w:val="none"/>
              </w:rPr>
              <w:t>Fecha de Actualización</w:t>
            </w:r>
          </w:p>
        </w:tc>
      </w:tr>
      <w:tr w:rsidR="001163DB" w:rsidRPr="00C732B8" w14:paraId="699B6D7F" w14:textId="77777777" w:rsidTr="000F3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503F9A6" w14:textId="780E51FD" w:rsidR="001163DB" w:rsidRPr="00C732B8" w:rsidRDefault="001163DB" w:rsidP="00565A74">
            <w:pPr>
              <w:spacing w:before="100" w:after="100" w:line="240" w:lineRule="auto"/>
              <w:rPr>
                <w:rStyle w:val="Hipervnculo"/>
                <w:b w:val="0"/>
                <w:i/>
                <w:color w:val="000000" w:themeColor="text1"/>
              </w:rPr>
            </w:pPr>
            <w:r w:rsidRPr="00C732B8">
              <w:rPr>
                <w:rFonts w:eastAsia="Times New Roman"/>
                <w:b w:val="0"/>
                <w:i/>
                <w:color w:val="000000" w:themeColor="text1"/>
              </w:rPr>
              <w:t xml:space="preserve">Concentrado por empleador </w:t>
            </w:r>
            <w:r w:rsidR="00B1345B">
              <w:rPr>
                <w:rFonts w:eastAsia="Times New Roman"/>
                <w:b w:val="0"/>
                <w:i/>
                <w:color w:val="000000" w:themeColor="text1"/>
              </w:rPr>
              <w:t xml:space="preserve">de </w:t>
            </w:r>
            <w:r w:rsidRPr="00C732B8">
              <w:rPr>
                <w:rFonts w:eastAsia="Times New Roman"/>
                <w:b w:val="0"/>
                <w:i/>
                <w:color w:val="000000" w:themeColor="text1"/>
              </w:rPr>
              <w:t xml:space="preserve">pensiones </w:t>
            </w:r>
            <w:r w:rsidR="00565A74">
              <w:rPr>
                <w:rFonts w:eastAsia="Times New Roman"/>
                <w:b w:val="0"/>
                <w:i/>
                <w:color w:val="000000" w:themeColor="text1"/>
              </w:rPr>
              <w:t>segundo semestre 2024.</w:t>
            </w:r>
          </w:p>
        </w:tc>
        <w:tc>
          <w:tcPr>
            <w:tcW w:w="2693" w:type="dxa"/>
          </w:tcPr>
          <w:p w14:paraId="370BC18A" w14:textId="77777777" w:rsidR="000F3CD5" w:rsidRPr="00C732B8" w:rsidRDefault="000F3CD5"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p>
          <w:p w14:paraId="21E34BC0" w14:textId="0658A6C6" w:rsidR="001163DB" w:rsidRPr="00C732B8" w:rsidRDefault="00565A74"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r>
              <w:rPr>
                <w:rStyle w:val="Hipervnculo"/>
                <w:b/>
                <w:i/>
                <w:color w:val="000000" w:themeColor="text1"/>
                <w:u w:val="none"/>
              </w:rPr>
              <w:t>18</w:t>
            </w:r>
            <w:r w:rsidR="001F2B21">
              <w:rPr>
                <w:rStyle w:val="Hipervnculo"/>
                <w:b/>
                <w:i/>
                <w:color w:val="000000" w:themeColor="text1"/>
                <w:u w:val="none"/>
              </w:rPr>
              <w:t>/02/2025</w:t>
            </w:r>
          </w:p>
          <w:p w14:paraId="648D42A0" w14:textId="2FD53872" w:rsidR="001163DB" w:rsidRPr="00C732B8" w:rsidRDefault="001163DB"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p>
        </w:tc>
        <w:tc>
          <w:tcPr>
            <w:tcW w:w="2402" w:type="dxa"/>
          </w:tcPr>
          <w:p w14:paraId="218E455A" w14:textId="77777777" w:rsidR="000F3CD5" w:rsidRPr="00C732B8" w:rsidRDefault="000F3CD5"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p>
          <w:p w14:paraId="1A41CE7E" w14:textId="137A5D69" w:rsidR="001163DB" w:rsidRPr="00C732B8" w:rsidRDefault="001163DB"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r w:rsidRPr="00C732B8">
              <w:rPr>
                <w:rStyle w:val="Hipervnculo"/>
                <w:b/>
                <w:i/>
                <w:color w:val="000000" w:themeColor="text1"/>
                <w:u w:val="none"/>
              </w:rPr>
              <w:t>Semestral</w:t>
            </w:r>
          </w:p>
        </w:tc>
      </w:tr>
      <w:tr w:rsidR="001163DB" w:rsidRPr="00C732B8" w14:paraId="2F36DB05" w14:textId="77777777" w:rsidTr="000F3CD5">
        <w:tc>
          <w:tcPr>
            <w:cnfStyle w:val="001000000000" w:firstRow="0" w:lastRow="0" w:firstColumn="1" w:lastColumn="0" w:oddVBand="0" w:evenVBand="0" w:oddHBand="0" w:evenHBand="0" w:firstRowFirstColumn="0" w:firstRowLastColumn="0" w:lastRowFirstColumn="0" w:lastRowLastColumn="0"/>
            <w:tcW w:w="4390" w:type="dxa"/>
          </w:tcPr>
          <w:p w14:paraId="0AC4840C" w14:textId="586C3F49" w:rsidR="001163DB" w:rsidRPr="00C732B8" w:rsidRDefault="001163DB" w:rsidP="00565A74">
            <w:pPr>
              <w:spacing w:before="100" w:after="100" w:line="240" w:lineRule="auto"/>
              <w:rPr>
                <w:rStyle w:val="Hipervnculo"/>
                <w:b w:val="0"/>
                <w:i/>
                <w:color w:val="000000" w:themeColor="text1"/>
              </w:rPr>
            </w:pPr>
            <w:r w:rsidRPr="00C732B8">
              <w:rPr>
                <w:rFonts w:eastAsia="Times New Roman"/>
                <w:b w:val="0"/>
                <w:i/>
                <w:color w:val="000000" w:themeColor="text1"/>
              </w:rPr>
              <w:t xml:space="preserve">Concentrado por empleador </w:t>
            </w:r>
            <w:r w:rsidR="00B1345B">
              <w:rPr>
                <w:rFonts w:eastAsia="Times New Roman"/>
                <w:b w:val="0"/>
                <w:i/>
                <w:color w:val="000000" w:themeColor="text1"/>
              </w:rPr>
              <w:t xml:space="preserve">de </w:t>
            </w:r>
            <w:r w:rsidRPr="00C732B8">
              <w:rPr>
                <w:rFonts w:eastAsia="Times New Roman"/>
                <w:b w:val="0"/>
                <w:i/>
                <w:color w:val="000000" w:themeColor="text1"/>
              </w:rPr>
              <w:t xml:space="preserve">Estímulo a la Permanencia </w:t>
            </w:r>
            <w:r w:rsidR="00565A74">
              <w:rPr>
                <w:rFonts w:eastAsia="Times New Roman"/>
                <w:b w:val="0"/>
                <w:i/>
                <w:color w:val="000000" w:themeColor="text1"/>
              </w:rPr>
              <w:t>segundo semestre 2024</w:t>
            </w:r>
            <w:r w:rsidRPr="00C732B8">
              <w:rPr>
                <w:rFonts w:eastAsia="Times New Roman"/>
                <w:b w:val="0"/>
                <w:i/>
                <w:color w:val="000000" w:themeColor="text1"/>
              </w:rPr>
              <w:t>.</w:t>
            </w:r>
          </w:p>
        </w:tc>
        <w:tc>
          <w:tcPr>
            <w:tcW w:w="2693" w:type="dxa"/>
          </w:tcPr>
          <w:p w14:paraId="567A90A4" w14:textId="77777777" w:rsidR="000F3CD5" w:rsidRPr="00C732B8" w:rsidRDefault="000F3CD5"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color w:val="000000" w:themeColor="text1"/>
                <w:u w:val="none"/>
              </w:rPr>
            </w:pPr>
          </w:p>
          <w:p w14:paraId="55C1EAC7" w14:textId="77777777" w:rsidR="001F2B21" w:rsidRPr="00C732B8" w:rsidRDefault="001F2B21" w:rsidP="001F2B21">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color w:val="000000" w:themeColor="text1"/>
                <w:u w:val="none"/>
              </w:rPr>
            </w:pPr>
            <w:r>
              <w:rPr>
                <w:rStyle w:val="Hipervnculo"/>
                <w:b/>
                <w:i/>
                <w:color w:val="000000" w:themeColor="text1"/>
                <w:u w:val="none"/>
              </w:rPr>
              <w:t>18/02/2025</w:t>
            </w:r>
          </w:p>
          <w:p w14:paraId="300A6AD8" w14:textId="77777777" w:rsidR="001163DB" w:rsidRPr="00C732B8" w:rsidRDefault="001163DB"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color w:val="000000" w:themeColor="text1"/>
                <w:u w:val="none"/>
              </w:rPr>
            </w:pPr>
          </w:p>
        </w:tc>
        <w:tc>
          <w:tcPr>
            <w:tcW w:w="2402" w:type="dxa"/>
          </w:tcPr>
          <w:p w14:paraId="6A074511" w14:textId="77777777" w:rsidR="000F3CD5" w:rsidRPr="00C732B8" w:rsidRDefault="000F3CD5"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color w:val="000000" w:themeColor="text1"/>
                <w:u w:val="none"/>
              </w:rPr>
            </w:pPr>
          </w:p>
          <w:p w14:paraId="1AB1B9F0" w14:textId="06D61B53" w:rsidR="001163DB" w:rsidRPr="00C732B8" w:rsidRDefault="001163DB"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color w:val="000000" w:themeColor="text1"/>
                <w:u w:val="none"/>
              </w:rPr>
            </w:pPr>
            <w:r w:rsidRPr="00C732B8">
              <w:rPr>
                <w:rStyle w:val="Hipervnculo"/>
                <w:b/>
                <w:i/>
                <w:color w:val="000000" w:themeColor="text1"/>
                <w:u w:val="none"/>
              </w:rPr>
              <w:t>Semestral</w:t>
            </w:r>
          </w:p>
        </w:tc>
      </w:tr>
      <w:tr w:rsidR="001163DB" w:rsidRPr="00C732B8" w14:paraId="5F6A259C" w14:textId="77777777" w:rsidTr="000F3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67D1672" w14:textId="5363B248" w:rsidR="001163DB" w:rsidRPr="00C732B8" w:rsidRDefault="001163DB" w:rsidP="00565A74">
            <w:pPr>
              <w:spacing w:before="100" w:after="100" w:line="240" w:lineRule="auto"/>
              <w:rPr>
                <w:rStyle w:val="Hipervnculo"/>
                <w:b w:val="0"/>
                <w:i/>
                <w:color w:val="000000" w:themeColor="text1"/>
              </w:rPr>
            </w:pPr>
            <w:r w:rsidRPr="00C732B8">
              <w:rPr>
                <w:rFonts w:eastAsia="Times New Roman"/>
                <w:b w:val="0"/>
                <w:i/>
                <w:color w:val="000000" w:themeColor="text1"/>
              </w:rPr>
              <w:t xml:space="preserve">Detallado de pensiones </w:t>
            </w:r>
            <w:r w:rsidR="00565A74">
              <w:rPr>
                <w:rFonts w:eastAsia="Times New Roman"/>
                <w:b w:val="0"/>
                <w:i/>
                <w:color w:val="000000" w:themeColor="text1"/>
              </w:rPr>
              <w:t>segundo semestre 2024.</w:t>
            </w:r>
          </w:p>
        </w:tc>
        <w:tc>
          <w:tcPr>
            <w:tcW w:w="2693" w:type="dxa"/>
          </w:tcPr>
          <w:p w14:paraId="590C9C6E" w14:textId="77777777" w:rsidR="000F3CD5" w:rsidRPr="00C732B8" w:rsidRDefault="000F3CD5"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p>
          <w:p w14:paraId="6647E710" w14:textId="77777777" w:rsidR="001F2B21" w:rsidRPr="00C732B8" w:rsidRDefault="001F2B21" w:rsidP="001F2B21">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r>
              <w:rPr>
                <w:rStyle w:val="Hipervnculo"/>
                <w:b/>
                <w:i/>
                <w:color w:val="000000" w:themeColor="text1"/>
                <w:u w:val="none"/>
              </w:rPr>
              <w:t>18/02/2025</w:t>
            </w:r>
          </w:p>
          <w:p w14:paraId="67D30621" w14:textId="0B58BC99" w:rsidR="001163DB" w:rsidRPr="00C732B8" w:rsidRDefault="001163DB"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p>
        </w:tc>
        <w:tc>
          <w:tcPr>
            <w:tcW w:w="2402" w:type="dxa"/>
          </w:tcPr>
          <w:p w14:paraId="33F17FEF" w14:textId="77777777" w:rsidR="000F3CD5" w:rsidRPr="00C732B8" w:rsidRDefault="000F3CD5"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p>
          <w:p w14:paraId="259EFD5A" w14:textId="2F4A694D" w:rsidR="001163DB" w:rsidRPr="00C732B8" w:rsidRDefault="001163DB"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r w:rsidRPr="00C732B8">
              <w:rPr>
                <w:rStyle w:val="Hipervnculo"/>
                <w:b/>
                <w:i/>
                <w:color w:val="000000" w:themeColor="text1"/>
                <w:u w:val="none"/>
              </w:rPr>
              <w:t>Semestral</w:t>
            </w:r>
          </w:p>
        </w:tc>
      </w:tr>
      <w:tr w:rsidR="001163DB" w:rsidRPr="00C732B8" w14:paraId="5DDF36DF" w14:textId="77777777" w:rsidTr="000F3CD5">
        <w:tc>
          <w:tcPr>
            <w:cnfStyle w:val="001000000000" w:firstRow="0" w:lastRow="0" w:firstColumn="1" w:lastColumn="0" w:oddVBand="0" w:evenVBand="0" w:oddHBand="0" w:evenHBand="0" w:firstRowFirstColumn="0" w:firstRowLastColumn="0" w:lastRowFirstColumn="0" w:lastRowLastColumn="0"/>
            <w:tcW w:w="4390" w:type="dxa"/>
          </w:tcPr>
          <w:p w14:paraId="0631A931" w14:textId="73F1A1F8" w:rsidR="001163DB" w:rsidRPr="00C732B8" w:rsidRDefault="001163DB" w:rsidP="00565A74">
            <w:pPr>
              <w:spacing w:before="100" w:after="100" w:line="240" w:lineRule="auto"/>
              <w:rPr>
                <w:rStyle w:val="Hipervnculo"/>
                <w:b w:val="0"/>
                <w:i/>
                <w:color w:val="000000" w:themeColor="text1"/>
              </w:rPr>
            </w:pPr>
            <w:r w:rsidRPr="00C732B8">
              <w:rPr>
                <w:rFonts w:eastAsia="Times New Roman"/>
                <w:b w:val="0"/>
                <w:i/>
                <w:color w:val="000000" w:themeColor="text1"/>
              </w:rPr>
              <w:t xml:space="preserve">Detallado de Estímulo a la Permanencia </w:t>
            </w:r>
            <w:r w:rsidR="00565A74">
              <w:rPr>
                <w:rFonts w:eastAsia="Times New Roman"/>
                <w:b w:val="0"/>
                <w:i/>
                <w:color w:val="000000" w:themeColor="text1"/>
              </w:rPr>
              <w:t>segundo semestre 2024</w:t>
            </w:r>
            <w:r w:rsidRPr="00C732B8">
              <w:rPr>
                <w:rFonts w:eastAsia="Times New Roman"/>
                <w:b w:val="0"/>
                <w:i/>
                <w:color w:val="000000" w:themeColor="text1"/>
              </w:rPr>
              <w:t>.</w:t>
            </w:r>
          </w:p>
        </w:tc>
        <w:tc>
          <w:tcPr>
            <w:tcW w:w="2693" w:type="dxa"/>
          </w:tcPr>
          <w:p w14:paraId="53DA04DF" w14:textId="77777777" w:rsidR="000F3CD5" w:rsidRPr="00C732B8" w:rsidRDefault="000F3CD5"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color w:val="000000" w:themeColor="text1"/>
                <w:u w:val="none"/>
              </w:rPr>
            </w:pPr>
          </w:p>
          <w:p w14:paraId="6F783477" w14:textId="77777777" w:rsidR="001F2B21" w:rsidRPr="00C732B8" w:rsidRDefault="001F2B21" w:rsidP="001F2B21">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color w:val="000000" w:themeColor="text1"/>
                <w:u w:val="none"/>
              </w:rPr>
            </w:pPr>
            <w:r>
              <w:rPr>
                <w:rStyle w:val="Hipervnculo"/>
                <w:b/>
                <w:i/>
                <w:color w:val="000000" w:themeColor="text1"/>
                <w:u w:val="none"/>
              </w:rPr>
              <w:t>18/02/2025</w:t>
            </w:r>
          </w:p>
          <w:p w14:paraId="3A347645" w14:textId="77777777" w:rsidR="001163DB" w:rsidRPr="00C732B8" w:rsidRDefault="001163DB"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color w:val="000000" w:themeColor="text1"/>
                <w:u w:val="none"/>
              </w:rPr>
            </w:pPr>
          </w:p>
        </w:tc>
        <w:tc>
          <w:tcPr>
            <w:tcW w:w="2402" w:type="dxa"/>
          </w:tcPr>
          <w:p w14:paraId="52C5B6BC" w14:textId="77777777" w:rsidR="000F3CD5" w:rsidRPr="00C732B8" w:rsidRDefault="000F3CD5"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color w:val="000000" w:themeColor="text1"/>
                <w:u w:val="none"/>
              </w:rPr>
            </w:pPr>
          </w:p>
          <w:p w14:paraId="09AA1B1F" w14:textId="24CFAD10" w:rsidR="001163DB" w:rsidRPr="00C732B8" w:rsidRDefault="001163DB"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color w:val="000000" w:themeColor="text1"/>
                <w:u w:val="none"/>
              </w:rPr>
            </w:pPr>
            <w:r w:rsidRPr="00C732B8">
              <w:rPr>
                <w:rStyle w:val="Hipervnculo"/>
                <w:b/>
                <w:i/>
                <w:color w:val="000000" w:themeColor="text1"/>
                <w:u w:val="none"/>
              </w:rPr>
              <w:t>Semestral</w:t>
            </w:r>
          </w:p>
        </w:tc>
      </w:tr>
      <w:tr w:rsidR="001163DB" w:rsidRPr="00C732B8" w14:paraId="558ABB89" w14:textId="77777777" w:rsidTr="000F3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748F535" w14:textId="4114BA24" w:rsidR="001163DB" w:rsidRPr="00C732B8" w:rsidRDefault="001163DB" w:rsidP="00250F2E">
            <w:pPr>
              <w:spacing w:before="100" w:after="100" w:line="240" w:lineRule="auto"/>
              <w:rPr>
                <w:rStyle w:val="Hipervnculo"/>
                <w:b w:val="0"/>
                <w:i/>
                <w:color w:val="000000" w:themeColor="text1"/>
                <w:u w:val="none"/>
              </w:rPr>
            </w:pPr>
            <w:r w:rsidRPr="00C732B8">
              <w:rPr>
                <w:rFonts w:eastAsia="Times New Roman"/>
                <w:b w:val="0"/>
                <w:i/>
                <w:color w:val="000000" w:themeColor="text1"/>
              </w:rPr>
              <w:t>Concentr</w:t>
            </w:r>
            <w:r w:rsidR="00565A74">
              <w:rPr>
                <w:rFonts w:eastAsia="Times New Roman"/>
                <w:b w:val="0"/>
                <w:i/>
                <w:color w:val="000000" w:themeColor="text1"/>
              </w:rPr>
              <w:t>ado por empleador pensiones 2025.</w:t>
            </w:r>
          </w:p>
        </w:tc>
        <w:tc>
          <w:tcPr>
            <w:tcW w:w="2693" w:type="dxa"/>
          </w:tcPr>
          <w:p w14:paraId="24F3D72F" w14:textId="24E1850B" w:rsidR="001163DB" w:rsidRPr="00C732B8" w:rsidRDefault="001163DB"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r w:rsidRPr="00C732B8">
              <w:rPr>
                <w:rStyle w:val="Hipervnculo"/>
                <w:b/>
                <w:i/>
                <w:color w:val="000000" w:themeColor="text1"/>
                <w:u w:val="none"/>
              </w:rPr>
              <w:t>Semestral</w:t>
            </w:r>
          </w:p>
        </w:tc>
        <w:tc>
          <w:tcPr>
            <w:tcW w:w="2402" w:type="dxa"/>
          </w:tcPr>
          <w:p w14:paraId="3992F340" w14:textId="77D45FBB" w:rsidR="001163DB" w:rsidRPr="00C732B8" w:rsidRDefault="001163DB"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r w:rsidRPr="00C732B8">
              <w:rPr>
                <w:rStyle w:val="Hipervnculo"/>
                <w:b/>
                <w:i/>
                <w:color w:val="000000" w:themeColor="text1"/>
                <w:u w:val="none"/>
              </w:rPr>
              <w:t>Semestral</w:t>
            </w:r>
          </w:p>
        </w:tc>
      </w:tr>
      <w:tr w:rsidR="001163DB" w:rsidRPr="00C732B8" w14:paraId="2DEC8D73" w14:textId="77777777" w:rsidTr="000F3CD5">
        <w:tc>
          <w:tcPr>
            <w:cnfStyle w:val="001000000000" w:firstRow="0" w:lastRow="0" w:firstColumn="1" w:lastColumn="0" w:oddVBand="0" w:evenVBand="0" w:oddHBand="0" w:evenHBand="0" w:firstRowFirstColumn="0" w:firstRowLastColumn="0" w:lastRowFirstColumn="0" w:lastRowLastColumn="0"/>
            <w:tcW w:w="4390" w:type="dxa"/>
          </w:tcPr>
          <w:p w14:paraId="46495614" w14:textId="6A60220A" w:rsidR="001163DB" w:rsidRPr="00C732B8" w:rsidRDefault="001163DB" w:rsidP="00250F2E">
            <w:pPr>
              <w:spacing w:before="100" w:after="100" w:line="240" w:lineRule="auto"/>
              <w:rPr>
                <w:rStyle w:val="Hipervnculo"/>
                <w:b w:val="0"/>
                <w:i/>
                <w:color w:val="000000" w:themeColor="text1"/>
              </w:rPr>
            </w:pPr>
            <w:r w:rsidRPr="00C732B8">
              <w:rPr>
                <w:rFonts w:eastAsia="Times New Roman"/>
                <w:b w:val="0"/>
                <w:i/>
                <w:color w:val="000000" w:themeColor="text1"/>
              </w:rPr>
              <w:t>Concentrado por empleado</w:t>
            </w:r>
            <w:r w:rsidR="00565A74">
              <w:rPr>
                <w:rFonts w:eastAsia="Times New Roman"/>
                <w:b w:val="0"/>
                <w:i/>
                <w:color w:val="000000" w:themeColor="text1"/>
              </w:rPr>
              <w:t>r Estímulo a la Permanencia 2025.</w:t>
            </w:r>
          </w:p>
        </w:tc>
        <w:tc>
          <w:tcPr>
            <w:tcW w:w="2693" w:type="dxa"/>
          </w:tcPr>
          <w:p w14:paraId="067818E8" w14:textId="11375D0B" w:rsidR="001163DB" w:rsidRPr="00C732B8" w:rsidRDefault="001163DB"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color w:val="000000" w:themeColor="text1"/>
                <w:u w:val="none"/>
              </w:rPr>
            </w:pPr>
            <w:r w:rsidRPr="00C732B8">
              <w:rPr>
                <w:rStyle w:val="Hipervnculo"/>
                <w:b/>
                <w:i/>
                <w:color w:val="000000" w:themeColor="text1"/>
                <w:u w:val="none"/>
              </w:rPr>
              <w:t>Semestral</w:t>
            </w:r>
          </w:p>
        </w:tc>
        <w:tc>
          <w:tcPr>
            <w:tcW w:w="2402" w:type="dxa"/>
          </w:tcPr>
          <w:p w14:paraId="48603560" w14:textId="41E1F489" w:rsidR="001163DB" w:rsidRPr="00C732B8" w:rsidRDefault="001163DB"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color w:val="000000" w:themeColor="text1"/>
                <w:u w:val="none"/>
              </w:rPr>
            </w:pPr>
            <w:r w:rsidRPr="00C732B8">
              <w:rPr>
                <w:rStyle w:val="Hipervnculo"/>
                <w:b/>
                <w:i/>
                <w:color w:val="000000" w:themeColor="text1"/>
                <w:u w:val="none"/>
              </w:rPr>
              <w:t>Semestral</w:t>
            </w:r>
          </w:p>
        </w:tc>
      </w:tr>
      <w:tr w:rsidR="001163DB" w:rsidRPr="00C732B8" w14:paraId="6F4C3D96" w14:textId="77777777" w:rsidTr="000F3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6FB4BFE" w14:textId="72315A3F" w:rsidR="001163DB" w:rsidRPr="00C732B8" w:rsidRDefault="00565A74" w:rsidP="00250F2E">
            <w:pPr>
              <w:spacing w:before="100" w:after="100" w:line="240" w:lineRule="auto"/>
              <w:rPr>
                <w:rStyle w:val="Hipervnculo"/>
                <w:b w:val="0"/>
                <w:i/>
                <w:color w:val="000000" w:themeColor="text1"/>
              </w:rPr>
            </w:pPr>
            <w:r>
              <w:rPr>
                <w:rFonts w:eastAsia="Times New Roman"/>
                <w:b w:val="0"/>
                <w:i/>
                <w:color w:val="000000" w:themeColor="text1"/>
              </w:rPr>
              <w:t>Detallado de pensiones 2025.</w:t>
            </w:r>
          </w:p>
        </w:tc>
        <w:tc>
          <w:tcPr>
            <w:tcW w:w="2693" w:type="dxa"/>
          </w:tcPr>
          <w:p w14:paraId="519F3999" w14:textId="0D9A72EE" w:rsidR="001163DB" w:rsidRPr="00C732B8" w:rsidRDefault="001163DB"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r w:rsidRPr="00C732B8">
              <w:rPr>
                <w:rStyle w:val="Hipervnculo"/>
                <w:b/>
                <w:i/>
                <w:color w:val="000000" w:themeColor="text1"/>
                <w:u w:val="none"/>
              </w:rPr>
              <w:t>Semestral</w:t>
            </w:r>
          </w:p>
        </w:tc>
        <w:tc>
          <w:tcPr>
            <w:tcW w:w="2402" w:type="dxa"/>
          </w:tcPr>
          <w:p w14:paraId="647172C1" w14:textId="2FAA5805" w:rsidR="001163DB" w:rsidRPr="00C732B8" w:rsidRDefault="001163DB"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rStyle w:val="Hipervnculo"/>
                <w:b/>
                <w:i/>
                <w:color w:val="000000" w:themeColor="text1"/>
                <w:u w:val="none"/>
              </w:rPr>
            </w:pPr>
            <w:r w:rsidRPr="00C732B8">
              <w:rPr>
                <w:rStyle w:val="Hipervnculo"/>
                <w:b/>
                <w:i/>
                <w:color w:val="000000" w:themeColor="text1"/>
                <w:u w:val="none"/>
              </w:rPr>
              <w:t>Semestral</w:t>
            </w:r>
          </w:p>
        </w:tc>
      </w:tr>
      <w:tr w:rsidR="001163DB" w:rsidRPr="00C732B8" w14:paraId="33ABBE0F" w14:textId="77777777" w:rsidTr="000F3CD5">
        <w:tc>
          <w:tcPr>
            <w:cnfStyle w:val="001000000000" w:firstRow="0" w:lastRow="0" w:firstColumn="1" w:lastColumn="0" w:oddVBand="0" w:evenVBand="0" w:oddHBand="0" w:evenHBand="0" w:firstRowFirstColumn="0" w:firstRowLastColumn="0" w:lastRowFirstColumn="0" w:lastRowLastColumn="0"/>
            <w:tcW w:w="4390" w:type="dxa"/>
          </w:tcPr>
          <w:p w14:paraId="5AE39DC6" w14:textId="36365021" w:rsidR="001163DB" w:rsidRPr="00C732B8" w:rsidRDefault="001163DB" w:rsidP="00250F2E">
            <w:pPr>
              <w:spacing w:before="100" w:after="100" w:line="240" w:lineRule="auto"/>
              <w:rPr>
                <w:rStyle w:val="Hipervnculo"/>
                <w:b w:val="0"/>
                <w:i/>
              </w:rPr>
            </w:pPr>
            <w:r w:rsidRPr="00C732B8">
              <w:rPr>
                <w:rFonts w:eastAsia="Times New Roman"/>
                <w:b w:val="0"/>
                <w:i/>
                <w:color w:val="000000" w:themeColor="text1"/>
              </w:rPr>
              <w:t>Detallado de</w:t>
            </w:r>
            <w:r w:rsidR="00565A74">
              <w:rPr>
                <w:rFonts w:eastAsia="Times New Roman"/>
                <w:b w:val="0"/>
                <w:i/>
                <w:color w:val="000000" w:themeColor="text1"/>
              </w:rPr>
              <w:t xml:space="preserve"> Estímulo a la Permanencia 2025.</w:t>
            </w:r>
          </w:p>
        </w:tc>
        <w:tc>
          <w:tcPr>
            <w:tcW w:w="2693" w:type="dxa"/>
          </w:tcPr>
          <w:p w14:paraId="69289F8D" w14:textId="5EC66F76" w:rsidR="001163DB" w:rsidRPr="00C732B8" w:rsidRDefault="001163DB"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u w:val="none"/>
              </w:rPr>
            </w:pPr>
            <w:r w:rsidRPr="00C732B8">
              <w:rPr>
                <w:rStyle w:val="Hipervnculo"/>
                <w:b/>
                <w:i/>
                <w:color w:val="000000" w:themeColor="text1"/>
                <w:u w:val="none"/>
              </w:rPr>
              <w:t>Semestral</w:t>
            </w:r>
          </w:p>
        </w:tc>
        <w:tc>
          <w:tcPr>
            <w:tcW w:w="2402" w:type="dxa"/>
          </w:tcPr>
          <w:p w14:paraId="567DD045" w14:textId="2FDABC12" w:rsidR="001163DB" w:rsidRPr="00C732B8" w:rsidRDefault="001163DB"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rStyle w:val="Hipervnculo"/>
                <w:b/>
                <w:i/>
                <w:u w:val="none"/>
              </w:rPr>
            </w:pPr>
            <w:r w:rsidRPr="00C732B8">
              <w:rPr>
                <w:rStyle w:val="Hipervnculo"/>
                <w:b/>
                <w:i/>
                <w:color w:val="000000" w:themeColor="text1"/>
                <w:u w:val="none"/>
              </w:rPr>
              <w:t>Semestral</w:t>
            </w:r>
          </w:p>
        </w:tc>
      </w:tr>
    </w:tbl>
    <w:p w14:paraId="3EFB6A44" w14:textId="77777777" w:rsidR="00BF4602" w:rsidRPr="00C732B8" w:rsidRDefault="00BF4602" w:rsidP="00BF4602">
      <w:pPr>
        <w:pBdr>
          <w:top w:val="nil"/>
          <w:left w:val="nil"/>
          <w:bottom w:val="nil"/>
          <w:right w:val="nil"/>
          <w:between w:val="nil"/>
        </w:pBdr>
        <w:spacing w:before="100" w:after="100" w:line="240" w:lineRule="auto"/>
        <w:jc w:val="both"/>
        <w:rPr>
          <w:rStyle w:val="Hipervnculo"/>
          <w:i/>
          <w:sz w:val="22"/>
          <w:szCs w:val="22"/>
        </w:rPr>
      </w:pPr>
    </w:p>
    <w:p w14:paraId="48337CB1" w14:textId="77777777" w:rsidR="000F3CD5" w:rsidRPr="008010AA" w:rsidRDefault="000F3CD5" w:rsidP="00BF4602">
      <w:pPr>
        <w:pBdr>
          <w:top w:val="nil"/>
          <w:left w:val="nil"/>
          <w:bottom w:val="nil"/>
          <w:right w:val="nil"/>
          <w:between w:val="nil"/>
        </w:pBdr>
        <w:spacing w:before="100" w:after="100" w:line="240" w:lineRule="auto"/>
        <w:jc w:val="both"/>
        <w:rPr>
          <w:b/>
          <w:color w:val="000000" w:themeColor="text1"/>
          <w:sz w:val="22"/>
          <w:szCs w:val="22"/>
        </w:rPr>
      </w:pPr>
    </w:p>
    <w:p w14:paraId="5AEF80BE" w14:textId="46C5D37B" w:rsidR="00250F2E" w:rsidRDefault="00250F2E" w:rsidP="00BF4602">
      <w:pPr>
        <w:pStyle w:val="Prrafodelista"/>
        <w:numPr>
          <w:ilvl w:val="0"/>
          <w:numId w:val="8"/>
        </w:numPr>
        <w:pBdr>
          <w:top w:val="nil"/>
          <w:left w:val="nil"/>
          <w:bottom w:val="nil"/>
          <w:right w:val="nil"/>
          <w:between w:val="nil"/>
        </w:pBdr>
        <w:spacing w:before="100" w:after="100" w:line="240" w:lineRule="auto"/>
        <w:jc w:val="both"/>
        <w:rPr>
          <w:b/>
          <w:color w:val="000000" w:themeColor="text1"/>
          <w:sz w:val="22"/>
          <w:szCs w:val="22"/>
        </w:rPr>
      </w:pPr>
      <w:r w:rsidRPr="008010AA">
        <w:rPr>
          <w:b/>
          <w:color w:val="000000" w:themeColor="text1"/>
          <w:sz w:val="22"/>
          <w:szCs w:val="22"/>
        </w:rPr>
        <w:t>Acciones para generar, almacenar, tratar, actualizar y administrar los datos abiertos, desde su propia infraestructura.</w:t>
      </w:r>
    </w:p>
    <w:p w14:paraId="77E9E93D" w14:textId="77777777" w:rsidR="000F3CD5" w:rsidRPr="000F3CD5" w:rsidRDefault="000F3CD5" w:rsidP="000F3CD5">
      <w:pPr>
        <w:pBdr>
          <w:top w:val="nil"/>
          <w:left w:val="nil"/>
          <w:bottom w:val="nil"/>
          <w:right w:val="nil"/>
          <w:between w:val="nil"/>
        </w:pBdr>
        <w:spacing w:before="100" w:after="100" w:line="240" w:lineRule="auto"/>
        <w:jc w:val="both"/>
        <w:rPr>
          <w:b/>
          <w:color w:val="000000" w:themeColor="text1"/>
          <w:sz w:val="22"/>
          <w:szCs w:val="22"/>
        </w:rPr>
      </w:pPr>
    </w:p>
    <w:tbl>
      <w:tblPr>
        <w:tblStyle w:val="Tablanormal1"/>
        <w:tblW w:w="9629" w:type="dxa"/>
        <w:tblLook w:val="04A0" w:firstRow="1" w:lastRow="0" w:firstColumn="1" w:lastColumn="0" w:noHBand="0" w:noVBand="1"/>
      </w:tblPr>
      <w:tblGrid>
        <w:gridCol w:w="3551"/>
        <w:gridCol w:w="2987"/>
        <w:gridCol w:w="1707"/>
        <w:gridCol w:w="1384"/>
      </w:tblGrid>
      <w:tr w:rsidR="000F3CD5" w14:paraId="402E59E6" w14:textId="77777777" w:rsidTr="000F3CD5">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551" w:type="dxa"/>
          </w:tcPr>
          <w:p w14:paraId="6263D35F" w14:textId="62271D62" w:rsidR="000F3CD5" w:rsidRPr="000F3CD5" w:rsidRDefault="000F3CD5" w:rsidP="000F3CD5">
            <w:pPr>
              <w:spacing w:before="100" w:after="100" w:line="240" w:lineRule="auto"/>
              <w:jc w:val="center"/>
              <w:rPr>
                <w:color w:val="000000" w:themeColor="text1"/>
              </w:rPr>
            </w:pPr>
            <w:r w:rsidRPr="000F3CD5">
              <w:rPr>
                <w:color w:val="000000" w:themeColor="text1"/>
              </w:rPr>
              <w:t>Acciones</w:t>
            </w:r>
          </w:p>
        </w:tc>
        <w:tc>
          <w:tcPr>
            <w:tcW w:w="2987" w:type="dxa"/>
          </w:tcPr>
          <w:p w14:paraId="2AB0BBB4" w14:textId="7AD26F7B" w:rsidR="000F3CD5" w:rsidRPr="000F3CD5" w:rsidRDefault="000F3CD5" w:rsidP="000F3CD5">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0F3CD5">
              <w:rPr>
                <w:color w:val="000000" w:themeColor="text1"/>
              </w:rPr>
              <w:t>Actores involucrados</w:t>
            </w:r>
          </w:p>
        </w:tc>
        <w:tc>
          <w:tcPr>
            <w:tcW w:w="1707" w:type="dxa"/>
          </w:tcPr>
          <w:p w14:paraId="591DBA36" w14:textId="1FA694D1" w:rsidR="000F3CD5" w:rsidRPr="000F3CD5" w:rsidRDefault="000F3CD5" w:rsidP="000F3CD5">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0F3CD5">
              <w:rPr>
                <w:color w:val="000000" w:themeColor="text1"/>
              </w:rPr>
              <w:t>Fecha de inicio</w:t>
            </w:r>
          </w:p>
        </w:tc>
        <w:tc>
          <w:tcPr>
            <w:tcW w:w="1384" w:type="dxa"/>
          </w:tcPr>
          <w:p w14:paraId="647D90F1" w14:textId="4652D943" w:rsidR="000F3CD5" w:rsidRPr="000F3CD5" w:rsidRDefault="000F3CD5" w:rsidP="000F3CD5">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0F3CD5">
              <w:rPr>
                <w:color w:val="000000" w:themeColor="text1"/>
              </w:rPr>
              <w:t>Fecha de término</w:t>
            </w:r>
          </w:p>
        </w:tc>
      </w:tr>
      <w:tr w:rsidR="000F3CD5" w14:paraId="0944218E" w14:textId="77777777" w:rsidTr="000F3CD5">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551" w:type="dxa"/>
          </w:tcPr>
          <w:p w14:paraId="4D3B990E" w14:textId="0002DF51" w:rsidR="000F3CD5" w:rsidRPr="00C732B8" w:rsidRDefault="000F3CD5" w:rsidP="000F3CD5">
            <w:pPr>
              <w:spacing w:before="100" w:after="100" w:line="240" w:lineRule="auto"/>
              <w:jc w:val="both"/>
              <w:rPr>
                <w:b w:val="0"/>
                <w:i/>
                <w:color w:val="000000" w:themeColor="text1"/>
              </w:rPr>
            </w:pPr>
            <w:r w:rsidRPr="00C732B8">
              <w:rPr>
                <w:b w:val="0"/>
                <w:i/>
                <w:color w:val="000000" w:themeColor="text1"/>
              </w:rPr>
              <w:t>Actualización de portal web Institucional cada que sea necesario.</w:t>
            </w:r>
          </w:p>
        </w:tc>
        <w:tc>
          <w:tcPr>
            <w:tcW w:w="2987" w:type="dxa"/>
          </w:tcPr>
          <w:p w14:paraId="026B9963" w14:textId="528275F6" w:rsidR="000F3CD5" w:rsidRPr="00C732B8" w:rsidRDefault="000F3CD5" w:rsidP="000F3CD5">
            <w:pPr>
              <w:spacing w:before="100" w:after="100" w:line="240" w:lineRule="auto"/>
              <w:jc w:val="both"/>
              <w:cnfStyle w:val="000000100000" w:firstRow="0" w:lastRow="0" w:firstColumn="0" w:lastColumn="0" w:oddVBand="0" w:evenVBand="0" w:oddHBand="1" w:evenHBand="0" w:firstRowFirstColumn="0" w:firstRowLastColumn="0" w:lastRowFirstColumn="0" w:lastRowLastColumn="0"/>
              <w:rPr>
                <w:i/>
                <w:color w:val="000000" w:themeColor="text1"/>
              </w:rPr>
            </w:pPr>
            <w:r w:rsidRPr="00C732B8">
              <w:rPr>
                <w:rFonts w:eastAsia="Times New Roman"/>
                <w:i/>
                <w:color w:val="000000" w:themeColor="text1"/>
              </w:rPr>
              <w:t>Administrador de datos y suplente</w:t>
            </w:r>
          </w:p>
        </w:tc>
        <w:tc>
          <w:tcPr>
            <w:tcW w:w="1707" w:type="dxa"/>
          </w:tcPr>
          <w:p w14:paraId="74E822A2" w14:textId="10E018F5" w:rsidR="000F3CD5" w:rsidRPr="00C732B8" w:rsidRDefault="00565A74"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i/>
                <w:color w:val="000000" w:themeColor="text1"/>
              </w:rPr>
            </w:pPr>
            <w:r>
              <w:rPr>
                <w:rFonts w:eastAsia="Times New Roman"/>
                <w:i/>
                <w:color w:val="000000" w:themeColor="text1"/>
              </w:rPr>
              <w:t>Enero 2025</w:t>
            </w:r>
          </w:p>
        </w:tc>
        <w:tc>
          <w:tcPr>
            <w:tcW w:w="1384" w:type="dxa"/>
          </w:tcPr>
          <w:p w14:paraId="1C12593F" w14:textId="1B199A9E" w:rsidR="000F3CD5" w:rsidRPr="00C732B8" w:rsidRDefault="00565A74" w:rsidP="000F3CD5">
            <w:pPr>
              <w:pBdr>
                <w:top w:val="nil"/>
                <w:left w:val="nil"/>
                <w:bottom w:val="nil"/>
                <w:right w:val="nil"/>
                <w:between w:val="nil"/>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i/>
                <w:color w:val="000000" w:themeColor="text1"/>
              </w:rPr>
            </w:pPr>
            <w:r>
              <w:rPr>
                <w:rFonts w:eastAsia="Times New Roman"/>
                <w:i/>
                <w:color w:val="000000" w:themeColor="text1"/>
              </w:rPr>
              <w:t>Diciembre 2025</w:t>
            </w:r>
          </w:p>
          <w:p w14:paraId="08859F7D" w14:textId="77777777" w:rsidR="000F3CD5" w:rsidRPr="00C732B8" w:rsidRDefault="000F3CD5" w:rsidP="000F3CD5">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i/>
                <w:color w:val="000000" w:themeColor="text1"/>
              </w:rPr>
            </w:pPr>
          </w:p>
        </w:tc>
      </w:tr>
      <w:tr w:rsidR="000F3CD5" w14:paraId="475F4FD3" w14:textId="77777777" w:rsidTr="000F3CD5">
        <w:trPr>
          <w:trHeight w:val="890"/>
        </w:trPr>
        <w:tc>
          <w:tcPr>
            <w:cnfStyle w:val="001000000000" w:firstRow="0" w:lastRow="0" w:firstColumn="1" w:lastColumn="0" w:oddVBand="0" w:evenVBand="0" w:oddHBand="0" w:evenHBand="0" w:firstRowFirstColumn="0" w:firstRowLastColumn="0" w:lastRowFirstColumn="0" w:lastRowLastColumn="0"/>
            <w:tcW w:w="3551" w:type="dxa"/>
          </w:tcPr>
          <w:p w14:paraId="3509209A" w14:textId="0C4CAB0B" w:rsidR="000F3CD5" w:rsidRPr="00C732B8" w:rsidRDefault="000F3CD5" w:rsidP="000F3CD5">
            <w:pPr>
              <w:spacing w:before="100" w:after="100" w:line="240" w:lineRule="auto"/>
              <w:jc w:val="both"/>
              <w:rPr>
                <w:b w:val="0"/>
                <w:i/>
                <w:color w:val="000000" w:themeColor="text1"/>
              </w:rPr>
            </w:pPr>
            <w:r w:rsidRPr="00C732B8">
              <w:rPr>
                <w:rFonts w:eastAsia="Times New Roman"/>
                <w:b w:val="0"/>
                <w:i/>
                <w:color w:val="000000" w:themeColor="text1"/>
              </w:rPr>
              <w:t>Generar segmentación por tema de datos abiertos</w:t>
            </w:r>
          </w:p>
        </w:tc>
        <w:tc>
          <w:tcPr>
            <w:tcW w:w="2987" w:type="dxa"/>
          </w:tcPr>
          <w:p w14:paraId="3A34907C" w14:textId="71F44458" w:rsidR="000F3CD5" w:rsidRPr="00C732B8" w:rsidRDefault="000F3CD5" w:rsidP="000F3CD5">
            <w:pPr>
              <w:spacing w:before="100" w:after="100" w:line="240" w:lineRule="auto"/>
              <w:jc w:val="both"/>
              <w:cnfStyle w:val="000000000000" w:firstRow="0" w:lastRow="0" w:firstColumn="0" w:lastColumn="0" w:oddVBand="0" w:evenVBand="0" w:oddHBand="0" w:evenHBand="0" w:firstRowFirstColumn="0" w:firstRowLastColumn="0" w:lastRowFirstColumn="0" w:lastRowLastColumn="0"/>
              <w:rPr>
                <w:i/>
                <w:color w:val="000000" w:themeColor="text1"/>
              </w:rPr>
            </w:pPr>
            <w:r w:rsidRPr="00C732B8">
              <w:rPr>
                <w:rFonts w:eastAsia="Times New Roman"/>
                <w:i/>
                <w:color w:val="000000" w:themeColor="text1"/>
              </w:rPr>
              <w:t>Administrador de datos y suplente</w:t>
            </w:r>
          </w:p>
        </w:tc>
        <w:tc>
          <w:tcPr>
            <w:tcW w:w="1707" w:type="dxa"/>
          </w:tcPr>
          <w:p w14:paraId="0D97A50A" w14:textId="6A750360" w:rsidR="000F3CD5" w:rsidRPr="00C732B8" w:rsidRDefault="00565A74"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rPr>
            </w:pPr>
            <w:r>
              <w:rPr>
                <w:rFonts w:eastAsia="Times New Roman"/>
                <w:i/>
                <w:color w:val="000000" w:themeColor="text1"/>
              </w:rPr>
              <w:t>Enero 2025</w:t>
            </w:r>
          </w:p>
        </w:tc>
        <w:tc>
          <w:tcPr>
            <w:tcW w:w="1384" w:type="dxa"/>
          </w:tcPr>
          <w:p w14:paraId="0DA328C2" w14:textId="39DFC68A" w:rsidR="000F3CD5" w:rsidRPr="00C732B8" w:rsidRDefault="00565A74" w:rsidP="000F3CD5">
            <w:pPr>
              <w:spacing w:before="100" w:after="100" w:line="240" w:lineRule="auto"/>
              <w:jc w:val="center"/>
              <w:cnfStyle w:val="000000000000" w:firstRow="0" w:lastRow="0" w:firstColumn="0" w:lastColumn="0" w:oddVBand="0" w:evenVBand="0" w:oddHBand="0" w:evenHBand="0" w:firstRowFirstColumn="0" w:firstRowLastColumn="0" w:lastRowFirstColumn="0" w:lastRowLastColumn="0"/>
              <w:rPr>
                <w:i/>
                <w:color w:val="000000" w:themeColor="text1"/>
              </w:rPr>
            </w:pPr>
            <w:r>
              <w:rPr>
                <w:rFonts w:eastAsia="Times New Roman"/>
                <w:i/>
                <w:color w:val="000000" w:themeColor="text1"/>
              </w:rPr>
              <w:t>Diciembre 2025</w:t>
            </w:r>
          </w:p>
        </w:tc>
      </w:tr>
    </w:tbl>
    <w:p w14:paraId="6C3857FC" w14:textId="77777777" w:rsidR="000F3CD5" w:rsidRPr="000F3CD5" w:rsidRDefault="000F3CD5" w:rsidP="000F3CD5">
      <w:pPr>
        <w:pBdr>
          <w:top w:val="nil"/>
          <w:left w:val="nil"/>
          <w:bottom w:val="nil"/>
          <w:right w:val="nil"/>
          <w:between w:val="nil"/>
        </w:pBdr>
        <w:spacing w:before="100" w:after="100" w:line="240" w:lineRule="auto"/>
        <w:jc w:val="both"/>
        <w:rPr>
          <w:b/>
          <w:color w:val="000000" w:themeColor="text1"/>
          <w:sz w:val="22"/>
          <w:szCs w:val="22"/>
        </w:rPr>
      </w:pPr>
    </w:p>
    <w:p w14:paraId="0D46C111" w14:textId="77777777" w:rsidR="008010AA" w:rsidRPr="008010AA" w:rsidRDefault="008010AA" w:rsidP="008010AA">
      <w:pPr>
        <w:rPr>
          <w:b/>
          <w:sz w:val="22"/>
          <w:szCs w:val="22"/>
        </w:rPr>
      </w:pPr>
      <w:bookmarkStart w:id="2" w:name="_GoBack"/>
      <w:bookmarkEnd w:id="2"/>
    </w:p>
    <w:p w14:paraId="1ECDBAC4" w14:textId="007A0EED" w:rsidR="00250F2E" w:rsidRPr="0072649B" w:rsidRDefault="008010AA" w:rsidP="0072649B">
      <w:pPr>
        <w:pStyle w:val="Prrafodelista"/>
        <w:numPr>
          <w:ilvl w:val="0"/>
          <w:numId w:val="8"/>
        </w:numPr>
        <w:rPr>
          <w:b/>
          <w:sz w:val="22"/>
          <w:szCs w:val="22"/>
        </w:rPr>
      </w:pPr>
      <w:r w:rsidRPr="0072649B">
        <w:rPr>
          <w:b/>
          <w:sz w:val="22"/>
          <w:szCs w:val="22"/>
        </w:rPr>
        <w:t>Acciones para fomentar y promover el uso de Datos Abiertos.</w:t>
      </w:r>
    </w:p>
    <w:tbl>
      <w:tblPr>
        <w:tblStyle w:val="Tablanormal1"/>
        <w:tblW w:w="0" w:type="auto"/>
        <w:tblLook w:val="04A0" w:firstRow="1" w:lastRow="0" w:firstColumn="1" w:lastColumn="0" w:noHBand="0" w:noVBand="1"/>
      </w:tblPr>
      <w:tblGrid>
        <w:gridCol w:w="4248"/>
        <w:gridCol w:w="2551"/>
        <w:gridCol w:w="1418"/>
        <w:gridCol w:w="1268"/>
      </w:tblGrid>
      <w:tr w:rsidR="0072649B" w14:paraId="57B3AD30" w14:textId="77777777" w:rsidTr="00A95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3CB3833" w14:textId="6E75C911" w:rsidR="0072649B" w:rsidRPr="00A95D44" w:rsidRDefault="0072649B" w:rsidP="00A95D44">
            <w:pPr>
              <w:jc w:val="center"/>
            </w:pPr>
            <w:r w:rsidRPr="00A95D44">
              <w:t>Acciones</w:t>
            </w:r>
          </w:p>
        </w:tc>
        <w:tc>
          <w:tcPr>
            <w:tcW w:w="2551" w:type="dxa"/>
          </w:tcPr>
          <w:p w14:paraId="2637BF5E" w14:textId="28D2071A" w:rsidR="0072649B" w:rsidRPr="00A95D44" w:rsidRDefault="0072649B" w:rsidP="00A95D44">
            <w:pPr>
              <w:jc w:val="center"/>
              <w:cnfStyle w:val="100000000000" w:firstRow="1" w:lastRow="0" w:firstColumn="0" w:lastColumn="0" w:oddVBand="0" w:evenVBand="0" w:oddHBand="0" w:evenHBand="0" w:firstRowFirstColumn="0" w:firstRowLastColumn="0" w:lastRowFirstColumn="0" w:lastRowLastColumn="0"/>
            </w:pPr>
            <w:r w:rsidRPr="00A95D44">
              <w:t>Actores involucrados</w:t>
            </w:r>
          </w:p>
        </w:tc>
        <w:tc>
          <w:tcPr>
            <w:tcW w:w="1418" w:type="dxa"/>
          </w:tcPr>
          <w:p w14:paraId="43B52D86" w14:textId="67A0D4F3" w:rsidR="0072649B" w:rsidRPr="00A95D44" w:rsidRDefault="0072649B" w:rsidP="00A95D44">
            <w:pPr>
              <w:jc w:val="center"/>
              <w:cnfStyle w:val="100000000000" w:firstRow="1" w:lastRow="0" w:firstColumn="0" w:lastColumn="0" w:oddVBand="0" w:evenVBand="0" w:oddHBand="0" w:evenHBand="0" w:firstRowFirstColumn="0" w:firstRowLastColumn="0" w:lastRowFirstColumn="0" w:lastRowLastColumn="0"/>
            </w:pPr>
            <w:r w:rsidRPr="00A95D44">
              <w:t>Fecha de inicio</w:t>
            </w:r>
          </w:p>
        </w:tc>
        <w:tc>
          <w:tcPr>
            <w:tcW w:w="1268" w:type="dxa"/>
          </w:tcPr>
          <w:p w14:paraId="18A0463F" w14:textId="1FBAC010" w:rsidR="0072649B" w:rsidRPr="00A95D44" w:rsidRDefault="0072649B" w:rsidP="00A95D44">
            <w:pPr>
              <w:jc w:val="center"/>
              <w:cnfStyle w:val="100000000000" w:firstRow="1" w:lastRow="0" w:firstColumn="0" w:lastColumn="0" w:oddVBand="0" w:evenVBand="0" w:oddHBand="0" w:evenHBand="0" w:firstRowFirstColumn="0" w:firstRowLastColumn="0" w:lastRowFirstColumn="0" w:lastRowLastColumn="0"/>
            </w:pPr>
            <w:r w:rsidRPr="00A95D44">
              <w:t>Fecha de Término</w:t>
            </w:r>
          </w:p>
        </w:tc>
      </w:tr>
      <w:tr w:rsidR="00A95D44" w14:paraId="4554116D" w14:textId="77777777" w:rsidTr="00A9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307DD29" w14:textId="723D7327" w:rsidR="00A95D44" w:rsidRPr="00C732B8" w:rsidRDefault="00A95D44" w:rsidP="00A95D44">
            <w:pPr>
              <w:rPr>
                <w:b w:val="0"/>
                <w:i/>
              </w:rPr>
            </w:pPr>
            <w:r w:rsidRPr="00C732B8">
              <w:rPr>
                <w:b w:val="0"/>
                <w:i/>
                <w:color w:val="000000" w:themeColor="text1"/>
              </w:rPr>
              <w:t>Difundir el Programa Anual de Datos Abiertos del Instituto de Pensiones del Estado de Sinaloa a través del sitio oficial.</w:t>
            </w:r>
          </w:p>
        </w:tc>
        <w:tc>
          <w:tcPr>
            <w:tcW w:w="2551" w:type="dxa"/>
          </w:tcPr>
          <w:p w14:paraId="7FBC35BF" w14:textId="0DC4D1D4" w:rsidR="00A95D44" w:rsidRPr="00C732B8" w:rsidRDefault="00A95D44" w:rsidP="00A95D44">
            <w:pPr>
              <w:cnfStyle w:val="000000100000" w:firstRow="0" w:lastRow="0" w:firstColumn="0" w:lastColumn="0" w:oddVBand="0" w:evenVBand="0" w:oddHBand="1" w:evenHBand="0" w:firstRowFirstColumn="0" w:firstRowLastColumn="0" w:lastRowFirstColumn="0" w:lastRowLastColumn="0"/>
              <w:rPr>
                <w:i/>
              </w:rPr>
            </w:pPr>
            <w:r w:rsidRPr="00C732B8">
              <w:rPr>
                <w:i/>
                <w:color w:val="000000" w:themeColor="text1"/>
              </w:rPr>
              <w:t xml:space="preserve">Subcomité de Datos Abiertos a través del Facilitador Institucional. </w:t>
            </w:r>
          </w:p>
        </w:tc>
        <w:tc>
          <w:tcPr>
            <w:tcW w:w="1418" w:type="dxa"/>
          </w:tcPr>
          <w:p w14:paraId="0F5128F8" w14:textId="77777777" w:rsidR="00A95D44" w:rsidRPr="00C732B8" w:rsidRDefault="00A95D44" w:rsidP="00A95D44">
            <w:pPr>
              <w:jc w:val="center"/>
              <w:cnfStyle w:val="000000100000" w:firstRow="0" w:lastRow="0" w:firstColumn="0" w:lastColumn="0" w:oddVBand="0" w:evenVBand="0" w:oddHBand="1" w:evenHBand="0" w:firstRowFirstColumn="0" w:firstRowLastColumn="0" w:lastRowFirstColumn="0" w:lastRowLastColumn="0"/>
              <w:rPr>
                <w:i/>
                <w:color w:val="000000" w:themeColor="text1"/>
              </w:rPr>
            </w:pPr>
          </w:p>
          <w:p w14:paraId="7266E801" w14:textId="3A9C812E" w:rsidR="00A95D44" w:rsidRPr="00C732B8" w:rsidRDefault="00565A74" w:rsidP="00A95D44">
            <w:pPr>
              <w:jc w:val="center"/>
              <w:cnfStyle w:val="000000100000" w:firstRow="0" w:lastRow="0" w:firstColumn="0" w:lastColumn="0" w:oddVBand="0" w:evenVBand="0" w:oddHBand="1" w:evenHBand="0" w:firstRowFirstColumn="0" w:firstRowLastColumn="0" w:lastRowFirstColumn="0" w:lastRowLastColumn="0"/>
              <w:rPr>
                <w:i/>
              </w:rPr>
            </w:pPr>
            <w:r>
              <w:rPr>
                <w:i/>
                <w:color w:val="000000" w:themeColor="text1"/>
              </w:rPr>
              <w:t>Enero 2025</w:t>
            </w:r>
          </w:p>
        </w:tc>
        <w:tc>
          <w:tcPr>
            <w:tcW w:w="1268" w:type="dxa"/>
          </w:tcPr>
          <w:p w14:paraId="06EBDC90" w14:textId="77777777" w:rsidR="00A95D44" w:rsidRPr="00C732B8" w:rsidRDefault="00A95D44" w:rsidP="00A95D44">
            <w:pPr>
              <w:jc w:val="center"/>
              <w:cnfStyle w:val="000000100000" w:firstRow="0" w:lastRow="0" w:firstColumn="0" w:lastColumn="0" w:oddVBand="0" w:evenVBand="0" w:oddHBand="1" w:evenHBand="0" w:firstRowFirstColumn="0" w:firstRowLastColumn="0" w:lastRowFirstColumn="0" w:lastRowLastColumn="0"/>
              <w:rPr>
                <w:i/>
                <w:color w:val="000000" w:themeColor="text1"/>
              </w:rPr>
            </w:pPr>
          </w:p>
          <w:p w14:paraId="70DF65DF" w14:textId="64C05C84" w:rsidR="00A95D44" w:rsidRPr="00C732B8" w:rsidRDefault="00565A74" w:rsidP="00A95D44">
            <w:pPr>
              <w:jc w:val="center"/>
              <w:cnfStyle w:val="000000100000" w:firstRow="0" w:lastRow="0" w:firstColumn="0" w:lastColumn="0" w:oddVBand="0" w:evenVBand="0" w:oddHBand="1" w:evenHBand="0" w:firstRowFirstColumn="0" w:firstRowLastColumn="0" w:lastRowFirstColumn="0" w:lastRowLastColumn="0"/>
              <w:rPr>
                <w:i/>
              </w:rPr>
            </w:pPr>
            <w:r>
              <w:rPr>
                <w:i/>
                <w:color w:val="000000" w:themeColor="text1"/>
              </w:rPr>
              <w:t>Diciembre 2025</w:t>
            </w:r>
          </w:p>
        </w:tc>
      </w:tr>
      <w:tr w:rsidR="00A95D44" w14:paraId="42728CA3" w14:textId="77777777" w:rsidTr="00A95D44">
        <w:trPr>
          <w:trHeight w:val="1303"/>
        </w:trPr>
        <w:tc>
          <w:tcPr>
            <w:cnfStyle w:val="001000000000" w:firstRow="0" w:lastRow="0" w:firstColumn="1" w:lastColumn="0" w:oddVBand="0" w:evenVBand="0" w:oddHBand="0" w:evenHBand="0" w:firstRowFirstColumn="0" w:firstRowLastColumn="0" w:lastRowFirstColumn="0" w:lastRowLastColumn="0"/>
            <w:tcW w:w="4248" w:type="dxa"/>
          </w:tcPr>
          <w:p w14:paraId="452D4E5A" w14:textId="3D39C52B" w:rsidR="00A95D44" w:rsidRPr="00C732B8" w:rsidRDefault="00A95D44" w:rsidP="00A95D44">
            <w:pPr>
              <w:rPr>
                <w:b w:val="0"/>
                <w:i/>
                <w:color w:val="000000" w:themeColor="text1"/>
              </w:rPr>
            </w:pPr>
            <w:r w:rsidRPr="00C732B8">
              <w:rPr>
                <w:b w:val="0"/>
                <w:i/>
                <w:color w:val="000000" w:themeColor="text1"/>
              </w:rPr>
              <w:t xml:space="preserve">Difundir con el personal directivo por medio de pláticas el Programa Anual de Datos Abiertos del Instituto de Pensiones del Estado de Sinaloa y su contenido, así como la legislación en la materia. </w:t>
            </w:r>
          </w:p>
        </w:tc>
        <w:tc>
          <w:tcPr>
            <w:tcW w:w="2551" w:type="dxa"/>
          </w:tcPr>
          <w:p w14:paraId="34003487" w14:textId="77777777" w:rsidR="00A95D44" w:rsidRPr="00C732B8" w:rsidRDefault="00A95D44" w:rsidP="00A95D44">
            <w:pPr>
              <w:cnfStyle w:val="000000000000" w:firstRow="0" w:lastRow="0" w:firstColumn="0" w:lastColumn="0" w:oddVBand="0" w:evenVBand="0" w:oddHBand="0" w:evenHBand="0" w:firstRowFirstColumn="0" w:firstRowLastColumn="0" w:lastRowFirstColumn="0" w:lastRowLastColumn="0"/>
              <w:rPr>
                <w:i/>
                <w:color w:val="000000" w:themeColor="text1"/>
              </w:rPr>
            </w:pPr>
          </w:p>
          <w:p w14:paraId="76239EAB" w14:textId="216ADEC2" w:rsidR="00A95D44" w:rsidRPr="00C732B8" w:rsidRDefault="00A95D44" w:rsidP="00A95D44">
            <w:pPr>
              <w:cnfStyle w:val="000000000000" w:firstRow="0" w:lastRow="0" w:firstColumn="0" w:lastColumn="0" w:oddVBand="0" w:evenVBand="0" w:oddHBand="0" w:evenHBand="0" w:firstRowFirstColumn="0" w:firstRowLastColumn="0" w:lastRowFirstColumn="0" w:lastRowLastColumn="0"/>
              <w:rPr>
                <w:i/>
              </w:rPr>
            </w:pPr>
            <w:r w:rsidRPr="00C732B8">
              <w:rPr>
                <w:i/>
                <w:color w:val="000000" w:themeColor="text1"/>
              </w:rPr>
              <w:t>Subcomité de Datos Abiertos a través del Facilitador Institucional.</w:t>
            </w:r>
          </w:p>
        </w:tc>
        <w:tc>
          <w:tcPr>
            <w:tcW w:w="1418" w:type="dxa"/>
          </w:tcPr>
          <w:p w14:paraId="379D7DD9" w14:textId="77777777" w:rsidR="00A95D44" w:rsidRPr="00C732B8" w:rsidRDefault="00A95D44" w:rsidP="00A95D44">
            <w:pPr>
              <w:jc w:val="center"/>
              <w:cnfStyle w:val="000000000000" w:firstRow="0" w:lastRow="0" w:firstColumn="0" w:lastColumn="0" w:oddVBand="0" w:evenVBand="0" w:oddHBand="0" w:evenHBand="0" w:firstRowFirstColumn="0" w:firstRowLastColumn="0" w:lastRowFirstColumn="0" w:lastRowLastColumn="0"/>
              <w:rPr>
                <w:i/>
                <w:color w:val="000000" w:themeColor="text1"/>
              </w:rPr>
            </w:pPr>
          </w:p>
          <w:p w14:paraId="4F8B0D5E" w14:textId="11B0D3EC" w:rsidR="00A95D44" w:rsidRPr="00C732B8" w:rsidRDefault="00565A74" w:rsidP="00A95D44">
            <w:pPr>
              <w:jc w:val="center"/>
              <w:cnfStyle w:val="000000000000" w:firstRow="0" w:lastRow="0" w:firstColumn="0" w:lastColumn="0" w:oddVBand="0" w:evenVBand="0" w:oddHBand="0" w:evenHBand="0" w:firstRowFirstColumn="0" w:firstRowLastColumn="0" w:lastRowFirstColumn="0" w:lastRowLastColumn="0"/>
              <w:rPr>
                <w:i/>
              </w:rPr>
            </w:pPr>
            <w:r>
              <w:rPr>
                <w:i/>
                <w:color w:val="000000" w:themeColor="text1"/>
              </w:rPr>
              <w:t>Enero 2025</w:t>
            </w:r>
          </w:p>
        </w:tc>
        <w:tc>
          <w:tcPr>
            <w:tcW w:w="1268" w:type="dxa"/>
          </w:tcPr>
          <w:p w14:paraId="2FF1B9D0" w14:textId="77777777" w:rsidR="00A95D44" w:rsidRPr="00C732B8" w:rsidRDefault="00A95D44" w:rsidP="00A95D44">
            <w:pPr>
              <w:jc w:val="center"/>
              <w:cnfStyle w:val="000000000000" w:firstRow="0" w:lastRow="0" w:firstColumn="0" w:lastColumn="0" w:oddVBand="0" w:evenVBand="0" w:oddHBand="0" w:evenHBand="0" w:firstRowFirstColumn="0" w:firstRowLastColumn="0" w:lastRowFirstColumn="0" w:lastRowLastColumn="0"/>
              <w:rPr>
                <w:i/>
                <w:color w:val="000000" w:themeColor="text1"/>
              </w:rPr>
            </w:pPr>
          </w:p>
          <w:p w14:paraId="248CA3BF" w14:textId="706DB270" w:rsidR="00A95D44" w:rsidRPr="00C732B8" w:rsidRDefault="00565A74" w:rsidP="00A95D44">
            <w:pPr>
              <w:jc w:val="center"/>
              <w:cnfStyle w:val="000000000000" w:firstRow="0" w:lastRow="0" w:firstColumn="0" w:lastColumn="0" w:oddVBand="0" w:evenVBand="0" w:oddHBand="0" w:evenHBand="0" w:firstRowFirstColumn="0" w:firstRowLastColumn="0" w:lastRowFirstColumn="0" w:lastRowLastColumn="0"/>
              <w:rPr>
                <w:i/>
              </w:rPr>
            </w:pPr>
            <w:r>
              <w:rPr>
                <w:i/>
                <w:color w:val="000000" w:themeColor="text1"/>
              </w:rPr>
              <w:t>Diciembre 2025</w:t>
            </w:r>
          </w:p>
        </w:tc>
      </w:tr>
      <w:tr w:rsidR="00A95D44" w14:paraId="46A18E24" w14:textId="77777777" w:rsidTr="00A9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F8A102C" w14:textId="01CAAEDC" w:rsidR="00A95D44" w:rsidRPr="00C732B8" w:rsidRDefault="00A95D44" w:rsidP="00A95D44">
            <w:pPr>
              <w:rPr>
                <w:b w:val="0"/>
                <w:i/>
              </w:rPr>
            </w:pPr>
            <w:r w:rsidRPr="00C732B8">
              <w:rPr>
                <w:b w:val="0"/>
                <w:i/>
                <w:color w:val="000000" w:themeColor="text1"/>
              </w:rPr>
              <w:t>Asistir a pláticas y/o capacitaciones impartidas por el órgano garante en materia de Datos Abiertos y/o por el Comité de Datos Abiertos de la Administració</w:t>
            </w:r>
            <w:r w:rsidR="00850915">
              <w:rPr>
                <w:b w:val="0"/>
                <w:i/>
                <w:color w:val="000000" w:themeColor="text1"/>
              </w:rPr>
              <w:t>n Pública del Estado de Sinaloa de la Secretaría de Transparencia y Rendición de Cuentas.</w:t>
            </w:r>
          </w:p>
        </w:tc>
        <w:tc>
          <w:tcPr>
            <w:tcW w:w="2551" w:type="dxa"/>
          </w:tcPr>
          <w:p w14:paraId="7957AFCD" w14:textId="77777777" w:rsidR="00A95D44" w:rsidRPr="00C732B8" w:rsidRDefault="00A95D44" w:rsidP="00A95D44">
            <w:pPr>
              <w:cnfStyle w:val="000000100000" w:firstRow="0" w:lastRow="0" w:firstColumn="0" w:lastColumn="0" w:oddVBand="0" w:evenVBand="0" w:oddHBand="1" w:evenHBand="0" w:firstRowFirstColumn="0" w:firstRowLastColumn="0" w:lastRowFirstColumn="0" w:lastRowLastColumn="0"/>
              <w:rPr>
                <w:i/>
                <w:color w:val="000000" w:themeColor="text1"/>
              </w:rPr>
            </w:pPr>
          </w:p>
          <w:p w14:paraId="2E9B4259" w14:textId="57A2EEF5" w:rsidR="00A95D44" w:rsidRPr="00C732B8" w:rsidRDefault="00A95D44" w:rsidP="00A95D44">
            <w:pPr>
              <w:cnfStyle w:val="000000100000" w:firstRow="0" w:lastRow="0" w:firstColumn="0" w:lastColumn="0" w:oddVBand="0" w:evenVBand="0" w:oddHBand="1" w:evenHBand="0" w:firstRowFirstColumn="0" w:firstRowLastColumn="0" w:lastRowFirstColumn="0" w:lastRowLastColumn="0"/>
              <w:rPr>
                <w:i/>
              </w:rPr>
            </w:pPr>
            <w:r w:rsidRPr="00C732B8">
              <w:rPr>
                <w:i/>
                <w:color w:val="000000" w:themeColor="text1"/>
              </w:rPr>
              <w:t>Integrantes del Subcomité de Datos Abiertos.</w:t>
            </w:r>
          </w:p>
        </w:tc>
        <w:tc>
          <w:tcPr>
            <w:tcW w:w="1418" w:type="dxa"/>
          </w:tcPr>
          <w:p w14:paraId="6C4DE06E" w14:textId="77777777" w:rsidR="00A95D44" w:rsidRPr="00C732B8" w:rsidRDefault="00A95D44" w:rsidP="00A95D44">
            <w:pPr>
              <w:jc w:val="center"/>
              <w:cnfStyle w:val="000000100000" w:firstRow="0" w:lastRow="0" w:firstColumn="0" w:lastColumn="0" w:oddVBand="0" w:evenVBand="0" w:oddHBand="1" w:evenHBand="0" w:firstRowFirstColumn="0" w:firstRowLastColumn="0" w:lastRowFirstColumn="0" w:lastRowLastColumn="0"/>
              <w:rPr>
                <w:i/>
                <w:color w:val="000000" w:themeColor="text1"/>
              </w:rPr>
            </w:pPr>
          </w:p>
          <w:p w14:paraId="154D2C6C" w14:textId="71D7245F" w:rsidR="00A95D44" w:rsidRPr="00C732B8" w:rsidRDefault="00565A74" w:rsidP="00A95D44">
            <w:pPr>
              <w:jc w:val="center"/>
              <w:cnfStyle w:val="000000100000" w:firstRow="0" w:lastRow="0" w:firstColumn="0" w:lastColumn="0" w:oddVBand="0" w:evenVBand="0" w:oddHBand="1" w:evenHBand="0" w:firstRowFirstColumn="0" w:firstRowLastColumn="0" w:lastRowFirstColumn="0" w:lastRowLastColumn="0"/>
              <w:rPr>
                <w:i/>
              </w:rPr>
            </w:pPr>
            <w:r>
              <w:rPr>
                <w:i/>
                <w:color w:val="000000" w:themeColor="text1"/>
              </w:rPr>
              <w:t>Enero 2025</w:t>
            </w:r>
          </w:p>
        </w:tc>
        <w:tc>
          <w:tcPr>
            <w:tcW w:w="1268" w:type="dxa"/>
          </w:tcPr>
          <w:p w14:paraId="02A7C5B0" w14:textId="77777777" w:rsidR="00A95D44" w:rsidRPr="00C732B8" w:rsidRDefault="00A95D44" w:rsidP="00A95D44">
            <w:pPr>
              <w:jc w:val="center"/>
              <w:cnfStyle w:val="000000100000" w:firstRow="0" w:lastRow="0" w:firstColumn="0" w:lastColumn="0" w:oddVBand="0" w:evenVBand="0" w:oddHBand="1" w:evenHBand="0" w:firstRowFirstColumn="0" w:firstRowLastColumn="0" w:lastRowFirstColumn="0" w:lastRowLastColumn="0"/>
              <w:rPr>
                <w:i/>
                <w:color w:val="000000" w:themeColor="text1"/>
              </w:rPr>
            </w:pPr>
          </w:p>
          <w:p w14:paraId="4CADE7C7" w14:textId="0F1C1F4E" w:rsidR="00A95D44" w:rsidRPr="00C732B8" w:rsidRDefault="00565A74" w:rsidP="00A95D44">
            <w:pPr>
              <w:jc w:val="center"/>
              <w:cnfStyle w:val="000000100000" w:firstRow="0" w:lastRow="0" w:firstColumn="0" w:lastColumn="0" w:oddVBand="0" w:evenVBand="0" w:oddHBand="1" w:evenHBand="0" w:firstRowFirstColumn="0" w:firstRowLastColumn="0" w:lastRowFirstColumn="0" w:lastRowLastColumn="0"/>
              <w:rPr>
                <w:i/>
              </w:rPr>
            </w:pPr>
            <w:r>
              <w:rPr>
                <w:i/>
                <w:color w:val="000000" w:themeColor="text1"/>
              </w:rPr>
              <w:t>Diciembre 2025</w:t>
            </w:r>
          </w:p>
        </w:tc>
      </w:tr>
    </w:tbl>
    <w:p w14:paraId="63653EBD" w14:textId="77777777" w:rsidR="00A95D44" w:rsidRDefault="00A95D44" w:rsidP="00A95D44">
      <w:pPr>
        <w:pBdr>
          <w:top w:val="nil"/>
          <w:left w:val="nil"/>
          <w:bottom w:val="nil"/>
          <w:right w:val="nil"/>
          <w:between w:val="nil"/>
        </w:pBdr>
        <w:spacing w:before="100" w:after="100" w:line="240" w:lineRule="auto"/>
        <w:rPr>
          <w:b/>
          <w:color w:val="000000" w:themeColor="text1"/>
          <w:sz w:val="22"/>
          <w:szCs w:val="22"/>
        </w:rPr>
      </w:pPr>
    </w:p>
    <w:p w14:paraId="7974D3D7" w14:textId="77777777" w:rsidR="00250F2E" w:rsidRPr="008010AA" w:rsidRDefault="00250F2E" w:rsidP="00FF47A3">
      <w:pPr>
        <w:pBdr>
          <w:top w:val="nil"/>
          <w:left w:val="nil"/>
          <w:bottom w:val="nil"/>
          <w:right w:val="nil"/>
          <w:between w:val="nil"/>
        </w:pBdr>
        <w:spacing w:before="100" w:after="100" w:line="240" w:lineRule="auto"/>
        <w:ind w:firstLine="708"/>
        <w:rPr>
          <w:b/>
          <w:color w:val="000000" w:themeColor="text1"/>
          <w:sz w:val="22"/>
          <w:szCs w:val="22"/>
        </w:rPr>
      </w:pPr>
      <w:r w:rsidRPr="008010AA">
        <w:rPr>
          <w:b/>
          <w:color w:val="000000" w:themeColor="text1"/>
          <w:sz w:val="22"/>
          <w:szCs w:val="22"/>
        </w:rPr>
        <w:t xml:space="preserve">5. Acciones para promover el sitio de internet </w:t>
      </w:r>
    </w:p>
    <w:p w14:paraId="11EFE6CE" w14:textId="77777777" w:rsidR="00250F2E" w:rsidRPr="008010AA" w:rsidRDefault="007753EC" w:rsidP="00250F2E">
      <w:pPr>
        <w:pBdr>
          <w:top w:val="nil"/>
          <w:left w:val="nil"/>
          <w:bottom w:val="nil"/>
          <w:right w:val="nil"/>
          <w:between w:val="nil"/>
        </w:pBdr>
        <w:spacing w:before="100" w:after="100" w:line="240" w:lineRule="auto"/>
        <w:rPr>
          <w:b/>
          <w:color w:val="000000" w:themeColor="text1"/>
          <w:sz w:val="22"/>
          <w:szCs w:val="22"/>
        </w:rPr>
      </w:pPr>
      <w:hyperlink r:id="rId9" w:history="1">
        <w:r w:rsidR="00250F2E" w:rsidRPr="008010AA">
          <w:rPr>
            <w:rStyle w:val="Hipervnculo"/>
            <w:b/>
            <w:sz w:val="22"/>
            <w:szCs w:val="22"/>
          </w:rPr>
          <w:t>http://transparencia.sinaloa.gob.mx/p/datos-abiertos</w:t>
        </w:r>
      </w:hyperlink>
    </w:p>
    <w:tbl>
      <w:tblPr>
        <w:tblStyle w:val="Tablanormal1"/>
        <w:tblW w:w="0" w:type="auto"/>
        <w:tblLook w:val="04A0" w:firstRow="1" w:lastRow="0" w:firstColumn="1" w:lastColumn="0" w:noHBand="0" w:noVBand="1"/>
      </w:tblPr>
      <w:tblGrid>
        <w:gridCol w:w="4248"/>
        <w:gridCol w:w="2551"/>
        <w:gridCol w:w="1418"/>
        <w:gridCol w:w="1268"/>
      </w:tblGrid>
      <w:tr w:rsidR="00A95D44" w:rsidRPr="00A256D1" w14:paraId="56602344" w14:textId="77777777" w:rsidTr="00EC6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FACA239" w14:textId="7B06DB68" w:rsidR="00A95D44" w:rsidRPr="00A256D1" w:rsidRDefault="00A95D44" w:rsidP="00250F2E">
            <w:pPr>
              <w:spacing w:before="100" w:after="100" w:line="240" w:lineRule="auto"/>
              <w:jc w:val="center"/>
              <w:rPr>
                <w:color w:val="000000" w:themeColor="text1"/>
              </w:rPr>
            </w:pPr>
            <w:r w:rsidRPr="00A256D1">
              <w:rPr>
                <w:color w:val="000000" w:themeColor="text1"/>
              </w:rPr>
              <w:t>Acciones</w:t>
            </w:r>
          </w:p>
        </w:tc>
        <w:tc>
          <w:tcPr>
            <w:tcW w:w="2551" w:type="dxa"/>
          </w:tcPr>
          <w:p w14:paraId="7CD855D8" w14:textId="063BB839" w:rsidR="00A95D44" w:rsidRPr="00A256D1" w:rsidRDefault="00A95D44" w:rsidP="00250F2E">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256D1">
              <w:rPr>
                <w:color w:val="000000" w:themeColor="text1"/>
              </w:rPr>
              <w:t>Actores involucrados</w:t>
            </w:r>
          </w:p>
        </w:tc>
        <w:tc>
          <w:tcPr>
            <w:tcW w:w="1418" w:type="dxa"/>
          </w:tcPr>
          <w:p w14:paraId="12624A50" w14:textId="69AC8AFE" w:rsidR="00A95D44" w:rsidRPr="00A256D1" w:rsidRDefault="00A95D44" w:rsidP="00250F2E">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256D1">
              <w:rPr>
                <w:color w:val="000000" w:themeColor="text1"/>
              </w:rPr>
              <w:t>Fecha de inicio</w:t>
            </w:r>
          </w:p>
        </w:tc>
        <w:tc>
          <w:tcPr>
            <w:tcW w:w="1268" w:type="dxa"/>
          </w:tcPr>
          <w:p w14:paraId="5FC9A8DE" w14:textId="0A606593" w:rsidR="00A95D44" w:rsidRPr="00A256D1" w:rsidRDefault="00A95D44" w:rsidP="00250F2E">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256D1">
              <w:rPr>
                <w:color w:val="000000" w:themeColor="text1"/>
              </w:rPr>
              <w:t>Fecha de término</w:t>
            </w:r>
          </w:p>
        </w:tc>
      </w:tr>
      <w:tr w:rsidR="00A95D44" w14:paraId="2D6C25C0" w14:textId="77777777" w:rsidTr="00EC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135C0A5" w14:textId="434F27B6" w:rsidR="00A95D44" w:rsidRPr="00A256D1" w:rsidRDefault="00A95D44" w:rsidP="00A95D44">
            <w:pPr>
              <w:spacing w:before="100" w:after="100" w:line="240" w:lineRule="auto"/>
              <w:jc w:val="center"/>
              <w:rPr>
                <w:b w:val="0"/>
                <w:i/>
                <w:color w:val="000000" w:themeColor="text1"/>
              </w:rPr>
            </w:pPr>
            <w:r w:rsidRPr="00A256D1">
              <w:rPr>
                <w:b w:val="0"/>
                <w:i/>
                <w:color w:val="000000" w:themeColor="text1"/>
              </w:rPr>
              <w:t xml:space="preserve">Implementar un banner informativo dentro del sitio web institucional para promover y difundir el uso de Datos Abiertos en el portal de la Secretaría de Transparencia y Rendición de Cuentas </w:t>
            </w:r>
          </w:p>
        </w:tc>
        <w:tc>
          <w:tcPr>
            <w:tcW w:w="2551" w:type="dxa"/>
          </w:tcPr>
          <w:p w14:paraId="2B5E693F" w14:textId="77777777" w:rsidR="00EC69F0" w:rsidRPr="00A256D1" w:rsidRDefault="00EC69F0" w:rsidP="00A95D44">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i/>
                <w:color w:val="000000" w:themeColor="text1"/>
              </w:rPr>
            </w:pPr>
          </w:p>
          <w:p w14:paraId="462C44B8" w14:textId="4E105908" w:rsidR="00A95D44" w:rsidRPr="00A256D1" w:rsidRDefault="00A95D44" w:rsidP="00EC69F0">
            <w:pPr>
              <w:spacing w:before="100" w:after="100" w:line="240" w:lineRule="auto"/>
              <w:cnfStyle w:val="000000100000" w:firstRow="0" w:lastRow="0" w:firstColumn="0" w:lastColumn="0" w:oddVBand="0" w:evenVBand="0" w:oddHBand="1" w:evenHBand="0" w:firstRowFirstColumn="0" w:firstRowLastColumn="0" w:lastRowFirstColumn="0" w:lastRowLastColumn="0"/>
              <w:rPr>
                <w:i/>
                <w:color w:val="000000" w:themeColor="text1"/>
              </w:rPr>
            </w:pPr>
            <w:r w:rsidRPr="00A256D1">
              <w:rPr>
                <w:i/>
                <w:color w:val="000000" w:themeColor="text1"/>
              </w:rPr>
              <w:t>Administrador de Datos</w:t>
            </w:r>
          </w:p>
        </w:tc>
        <w:tc>
          <w:tcPr>
            <w:tcW w:w="1418" w:type="dxa"/>
          </w:tcPr>
          <w:p w14:paraId="55E4F6B5" w14:textId="77777777" w:rsidR="00EC69F0" w:rsidRPr="00A256D1" w:rsidRDefault="00EC69F0" w:rsidP="00A95D44">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i/>
                <w:color w:val="000000" w:themeColor="text1"/>
              </w:rPr>
            </w:pPr>
          </w:p>
          <w:p w14:paraId="2B552B53" w14:textId="7AAC1886" w:rsidR="00A95D44" w:rsidRPr="00A256D1" w:rsidRDefault="00565A74" w:rsidP="00A95D44">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i/>
                <w:color w:val="000000" w:themeColor="text1"/>
              </w:rPr>
            </w:pPr>
            <w:r>
              <w:rPr>
                <w:i/>
                <w:color w:val="000000" w:themeColor="text1"/>
              </w:rPr>
              <w:t>Enero 2025</w:t>
            </w:r>
          </w:p>
        </w:tc>
        <w:tc>
          <w:tcPr>
            <w:tcW w:w="1268" w:type="dxa"/>
          </w:tcPr>
          <w:p w14:paraId="7F1EA4F2" w14:textId="77777777" w:rsidR="00A95D44" w:rsidRPr="00A256D1" w:rsidRDefault="00A95D44" w:rsidP="00A95D44">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i/>
                <w:color w:val="000000" w:themeColor="text1"/>
              </w:rPr>
            </w:pPr>
          </w:p>
          <w:p w14:paraId="55AACC5A" w14:textId="0A66BABD" w:rsidR="00A95D44" w:rsidRPr="00A256D1" w:rsidRDefault="00565A74" w:rsidP="00A95D44">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i/>
                <w:color w:val="000000" w:themeColor="text1"/>
              </w:rPr>
            </w:pPr>
            <w:r>
              <w:rPr>
                <w:i/>
                <w:color w:val="000000" w:themeColor="text1"/>
              </w:rPr>
              <w:t>Diciembre 2025</w:t>
            </w:r>
          </w:p>
          <w:p w14:paraId="7D6BD8E1" w14:textId="77777777" w:rsidR="00A95D44" w:rsidRPr="00A256D1" w:rsidRDefault="00A95D44" w:rsidP="00A95D44">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i/>
                <w:color w:val="000000" w:themeColor="text1"/>
              </w:rPr>
            </w:pPr>
          </w:p>
        </w:tc>
      </w:tr>
    </w:tbl>
    <w:p w14:paraId="4614FBB1" w14:textId="77777777" w:rsidR="00250F2E" w:rsidRPr="008010AA" w:rsidRDefault="00250F2E" w:rsidP="00250F2E">
      <w:pPr>
        <w:pBdr>
          <w:top w:val="nil"/>
          <w:left w:val="nil"/>
          <w:bottom w:val="nil"/>
          <w:right w:val="nil"/>
          <w:between w:val="nil"/>
        </w:pBdr>
        <w:spacing w:before="100" w:after="100" w:line="240" w:lineRule="auto"/>
        <w:jc w:val="center"/>
        <w:rPr>
          <w:b/>
          <w:color w:val="000000" w:themeColor="text1"/>
          <w:sz w:val="22"/>
          <w:szCs w:val="22"/>
        </w:rPr>
      </w:pPr>
    </w:p>
    <w:p w14:paraId="2E088EB1" w14:textId="77777777" w:rsidR="00250F2E" w:rsidRDefault="00250F2E" w:rsidP="00250F2E">
      <w:pPr>
        <w:pBdr>
          <w:top w:val="nil"/>
          <w:left w:val="nil"/>
          <w:bottom w:val="nil"/>
          <w:right w:val="nil"/>
          <w:between w:val="nil"/>
        </w:pBdr>
        <w:spacing w:before="100" w:after="100" w:line="240" w:lineRule="auto"/>
        <w:jc w:val="center"/>
        <w:rPr>
          <w:b/>
          <w:color w:val="000000" w:themeColor="text1"/>
          <w:sz w:val="22"/>
          <w:szCs w:val="22"/>
        </w:rPr>
      </w:pPr>
      <w:r w:rsidRPr="008010AA">
        <w:rPr>
          <w:b/>
          <w:color w:val="000000" w:themeColor="text1"/>
          <w:sz w:val="22"/>
          <w:szCs w:val="22"/>
        </w:rPr>
        <w:t>Firma Compromiso</w:t>
      </w:r>
    </w:p>
    <w:tbl>
      <w:tblPr>
        <w:tblStyle w:val="Tablanormal1"/>
        <w:tblW w:w="0" w:type="auto"/>
        <w:tblLook w:val="04A0" w:firstRow="1" w:lastRow="0" w:firstColumn="1" w:lastColumn="0" w:noHBand="0" w:noVBand="1"/>
      </w:tblPr>
      <w:tblGrid>
        <w:gridCol w:w="2122"/>
        <w:gridCol w:w="2126"/>
        <w:gridCol w:w="2551"/>
        <w:gridCol w:w="1418"/>
        <w:gridCol w:w="1268"/>
      </w:tblGrid>
      <w:tr w:rsidR="00A256D1" w:rsidRPr="00A256D1" w14:paraId="2CFD6477" w14:textId="77777777" w:rsidTr="00A25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5895BC" w14:textId="226C3313" w:rsidR="00A256D1" w:rsidRPr="00A256D1" w:rsidRDefault="00A256D1" w:rsidP="00250F2E">
            <w:pPr>
              <w:spacing w:before="100" w:after="100" w:line="240" w:lineRule="auto"/>
              <w:jc w:val="center"/>
              <w:rPr>
                <w:color w:val="000000" w:themeColor="text1"/>
              </w:rPr>
            </w:pPr>
            <w:r w:rsidRPr="00A256D1">
              <w:rPr>
                <w:color w:val="000000" w:themeColor="text1"/>
              </w:rPr>
              <w:t>Nombre de Enlace</w:t>
            </w:r>
          </w:p>
        </w:tc>
        <w:tc>
          <w:tcPr>
            <w:tcW w:w="2126" w:type="dxa"/>
          </w:tcPr>
          <w:p w14:paraId="01751442" w14:textId="56013E49" w:rsidR="00A256D1" w:rsidRPr="00A256D1" w:rsidRDefault="00A256D1" w:rsidP="00250F2E">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256D1">
              <w:rPr>
                <w:color w:val="000000" w:themeColor="text1"/>
              </w:rPr>
              <w:t>Dependencia</w:t>
            </w:r>
          </w:p>
        </w:tc>
        <w:tc>
          <w:tcPr>
            <w:tcW w:w="2551" w:type="dxa"/>
          </w:tcPr>
          <w:p w14:paraId="0396DBFB" w14:textId="717EB399" w:rsidR="00A256D1" w:rsidRPr="00A256D1" w:rsidRDefault="00A256D1" w:rsidP="00250F2E">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256D1">
              <w:rPr>
                <w:color w:val="000000" w:themeColor="text1"/>
              </w:rPr>
              <w:t>Cargo</w:t>
            </w:r>
          </w:p>
        </w:tc>
        <w:tc>
          <w:tcPr>
            <w:tcW w:w="1418" w:type="dxa"/>
          </w:tcPr>
          <w:p w14:paraId="4D81E1E8" w14:textId="3717C2AE" w:rsidR="00A256D1" w:rsidRPr="00A256D1" w:rsidRDefault="00A256D1" w:rsidP="00250F2E">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256D1">
              <w:rPr>
                <w:color w:val="000000" w:themeColor="text1"/>
              </w:rPr>
              <w:t>Fecha</w:t>
            </w:r>
          </w:p>
        </w:tc>
        <w:tc>
          <w:tcPr>
            <w:tcW w:w="1268" w:type="dxa"/>
          </w:tcPr>
          <w:p w14:paraId="0AC46FB0" w14:textId="6928BAC6" w:rsidR="00A256D1" w:rsidRPr="00A256D1" w:rsidRDefault="00A256D1" w:rsidP="00250F2E">
            <w:pPr>
              <w:spacing w:before="100" w:after="10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256D1">
              <w:rPr>
                <w:color w:val="000000" w:themeColor="text1"/>
              </w:rPr>
              <w:t>Firma</w:t>
            </w:r>
          </w:p>
        </w:tc>
      </w:tr>
      <w:tr w:rsidR="00A256D1" w:rsidRPr="00A256D1" w14:paraId="20BEA495" w14:textId="77777777" w:rsidTr="00A25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004058C" w14:textId="48E01963" w:rsidR="00A256D1" w:rsidRPr="00A256D1" w:rsidRDefault="00A256D1" w:rsidP="00250F2E">
            <w:pPr>
              <w:spacing w:before="100" w:after="100" w:line="240" w:lineRule="auto"/>
              <w:jc w:val="center"/>
              <w:rPr>
                <w:b w:val="0"/>
                <w:i/>
                <w:color w:val="000000" w:themeColor="text1"/>
              </w:rPr>
            </w:pPr>
            <w:r w:rsidRPr="00A256D1">
              <w:rPr>
                <w:b w:val="0"/>
                <w:i/>
                <w:color w:val="000000" w:themeColor="text1"/>
              </w:rPr>
              <w:t xml:space="preserve">Karla María </w:t>
            </w:r>
            <w:proofErr w:type="spellStart"/>
            <w:r w:rsidRPr="00A256D1">
              <w:rPr>
                <w:b w:val="0"/>
                <w:i/>
                <w:color w:val="000000" w:themeColor="text1"/>
              </w:rPr>
              <w:t>Gastélum</w:t>
            </w:r>
            <w:proofErr w:type="spellEnd"/>
            <w:r w:rsidRPr="00A256D1">
              <w:rPr>
                <w:b w:val="0"/>
                <w:i/>
                <w:color w:val="000000" w:themeColor="text1"/>
              </w:rPr>
              <w:t xml:space="preserve"> Morales</w:t>
            </w:r>
          </w:p>
        </w:tc>
        <w:tc>
          <w:tcPr>
            <w:tcW w:w="2126" w:type="dxa"/>
          </w:tcPr>
          <w:p w14:paraId="055576F2" w14:textId="79EF03B4" w:rsidR="00A256D1" w:rsidRPr="00A256D1" w:rsidRDefault="00A256D1" w:rsidP="00250F2E">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i/>
                <w:color w:val="000000" w:themeColor="text1"/>
              </w:rPr>
            </w:pPr>
            <w:r w:rsidRPr="00A256D1">
              <w:rPr>
                <w:i/>
                <w:color w:val="000000" w:themeColor="text1"/>
              </w:rPr>
              <w:t>Instituto de Pensiones del Estado de Sinaloa</w:t>
            </w:r>
          </w:p>
        </w:tc>
        <w:tc>
          <w:tcPr>
            <w:tcW w:w="2551" w:type="dxa"/>
          </w:tcPr>
          <w:p w14:paraId="3AC0E666" w14:textId="69E54899" w:rsidR="00A256D1" w:rsidRPr="00A256D1" w:rsidRDefault="00A256D1" w:rsidP="00250F2E">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i/>
                <w:color w:val="000000" w:themeColor="text1"/>
              </w:rPr>
            </w:pPr>
            <w:r w:rsidRPr="00A256D1">
              <w:rPr>
                <w:i/>
                <w:color w:val="000000" w:themeColor="text1"/>
              </w:rPr>
              <w:t>Responsable de la Unidad de Transparencia</w:t>
            </w:r>
          </w:p>
        </w:tc>
        <w:tc>
          <w:tcPr>
            <w:tcW w:w="1418" w:type="dxa"/>
          </w:tcPr>
          <w:p w14:paraId="1553B1A5" w14:textId="56AF6DE4" w:rsidR="00A256D1" w:rsidRPr="00A256D1" w:rsidRDefault="00565A74" w:rsidP="00250F2E">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i/>
                <w:color w:val="000000" w:themeColor="text1"/>
              </w:rPr>
            </w:pPr>
            <w:r>
              <w:rPr>
                <w:i/>
                <w:color w:val="000000" w:themeColor="text1"/>
              </w:rPr>
              <w:t>14</w:t>
            </w:r>
            <w:r w:rsidR="000C5F44">
              <w:rPr>
                <w:i/>
                <w:color w:val="000000" w:themeColor="text1"/>
              </w:rPr>
              <w:t>/02/2025</w:t>
            </w:r>
          </w:p>
        </w:tc>
        <w:tc>
          <w:tcPr>
            <w:tcW w:w="1268" w:type="dxa"/>
          </w:tcPr>
          <w:p w14:paraId="46D2D192" w14:textId="77777777" w:rsidR="00A256D1" w:rsidRPr="00A256D1" w:rsidRDefault="00A256D1" w:rsidP="00250F2E">
            <w:pPr>
              <w:spacing w:before="100" w:after="10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1CFC06B6" w14:textId="77777777" w:rsidR="001179A1" w:rsidRPr="00850915" w:rsidRDefault="001179A1" w:rsidP="00FF47A3">
      <w:pPr>
        <w:rPr>
          <w:sz w:val="8"/>
          <w:szCs w:val="22"/>
        </w:rPr>
      </w:pPr>
    </w:p>
    <w:sectPr w:rsidR="001179A1" w:rsidRPr="00850915" w:rsidSect="00432177">
      <w:headerReference w:type="default" r:id="rId10"/>
      <w:footerReference w:type="default" r:id="rId11"/>
      <w:pgSz w:w="12240" w:h="15840"/>
      <w:pgMar w:top="1560" w:right="1469" w:bottom="1418" w:left="1276"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F5FC3" w14:textId="77777777" w:rsidR="00B25E12" w:rsidRDefault="00B25E12" w:rsidP="00781DC0">
      <w:pPr>
        <w:spacing w:after="0" w:line="240" w:lineRule="auto"/>
      </w:pPr>
      <w:r>
        <w:separator/>
      </w:r>
    </w:p>
  </w:endnote>
  <w:endnote w:type="continuationSeparator" w:id="0">
    <w:p w14:paraId="26696417" w14:textId="77777777" w:rsidR="00B25E12" w:rsidRDefault="00B25E12" w:rsidP="0078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6980C" w14:textId="43EDC892" w:rsidR="00E052B6" w:rsidRDefault="00E052B6" w:rsidP="00E052B6">
    <w:pPr>
      <w:pStyle w:val="Piedepgina"/>
      <w:jc w:val="center"/>
      <w:rPr>
        <w:sz w:val="18"/>
        <w:szCs w:val="18"/>
      </w:rPr>
    </w:pPr>
    <w:bookmarkStart w:id="3" w:name="_Hlk105405459"/>
    <w:r>
      <w:rPr>
        <w:noProof/>
        <w:lang w:val="es-MX"/>
      </w:rPr>
      <w:drawing>
        <wp:anchor distT="0" distB="0" distL="114300" distR="114300" simplePos="0" relativeHeight="251667456" behindDoc="1" locked="0" layoutInCell="1" allowOverlap="1" wp14:anchorId="70C0306F" wp14:editId="43EEF419">
          <wp:simplePos x="0" y="0"/>
          <wp:positionH relativeFrom="column">
            <wp:posOffset>2189480</wp:posOffset>
          </wp:positionH>
          <wp:positionV relativeFrom="paragraph">
            <wp:posOffset>82550</wp:posOffset>
          </wp:positionV>
          <wp:extent cx="1499303" cy="521335"/>
          <wp:effectExtent l="0" t="0" r="5715" b="0"/>
          <wp:wrapNone/>
          <wp:docPr id="80496129" name="Imagen 8049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303" cy="521335"/>
                  </a:xfrm>
                  <a:prstGeom prst="rect">
                    <a:avLst/>
                  </a:prstGeom>
                  <a:noFill/>
                </pic:spPr>
              </pic:pic>
            </a:graphicData>
          </a:graphic>
          <wp14:sizeRelH relativeFrom="margin">
            <wp14:pctWidth>0</wp14:pctWidth>
          </wp14:sizeRelH>
          <wp14:sizeRelV relativeFrom="margin">
            <wp14:pctHeight>0</wp14:pctHeight>
          </wp14:sizeRelV>
        </wp:anchor>
      </w:drawing>
    </w:r>
  </w:p>
  <w:p w14:paraId="79669461" w14:textId="463A4174" w:rsidR="00E052B6" w:rsidRDefault="00E052B6" w:rsidP="00E052B6">
    <w:pPr>
      <w:pStyle w:val="Piedepgina"/>
      <w:jc w:val="center"/>
      <w:rPr>
        <w:sz w:val="18"/>
        <w:szCs w:val="18"/>
      </w:rPr>
    </w:pPr>
  </w:p>
  <w:p w14:paraId="03B2D4D5" w14:textId="5D97B4CC" w:rsidR="00E052B6" w:rsidRDefault="00E052B6" w:rsidP="00E052B6">
    <w:pPr>
      <w:pStyle w:val="Piedepgina"/>
      <w:jc w:val="center"/>
      <w:rPr>
        <w:sz w:val="18"/>
        <w:szCs w:val="18"/>
      </w:rPr>
    </w:pPr>
  </w:p>
  <w:p w14:paraId="34B4F25E" w14:textId="3F5114F8" w:rsidR="00E052B6" w:rsidRDefault="00E052B6" w:rsidP="00E052B6">
    <w:pPr>
      <w:pStyle w:val="Piedepgina"/>
      <w:jc w:val="center"/>
      <w:rPr>
        <w:sz w:val="18"/>
        <w:szCs w:val="18"/>
      </w:rPr>
    </w:pPr>
  </w:p>
  <w:p w14:paraId="730B225F" w14:textId="18A88C21" w:rsidR="00E052B6" w:rsidRDefault="00E052B6" w:rsidP="00E052B6">
    <w:pPr>
      <w:pStyle w:val="Piedepgina"/>
      <w:jc w:val="center"/>
      <w:rPr>
        <w:sz w:val="18"/>
        <w:szCs w:val="18"/>
      </w:rPr>
    </w:pPr>
  </w:p>
  <w:p w14:paraId="0008E830" w14:textId="5DB4D8E5" w:rsidR="00A81935" w:rsidRPr="00E052B6" w:rsidRDefault="00A81935" w:rsidP="00E052B6">
    <w:pPr>
      <w:pStyle w:val="Piedepgina"/>
      <w:jc w:val="center"/>
      <w:rPr>
        <w:rFonts w:cstheme="minorHAnsi"/>
        <w:sz w:val="18"/>
        <w:szCs w:val="18"/>
      </w:rPr>
    </w:pPr>
    <w:proofErr w:type="spellStart"/>
    <w:r w:rsidRPr="00E052B6">
      <w:rPr>
        <w:rFonts w:cstheme="minorHAnsi"/>
        <w:sz w:val="18"/>
        <w:szCs w:val="18"/>
      </w:rPr>
      <w:t>Blvd</w:t>
    </w:r>
    <w:proofErr w:type="spellEnd"/>
    <w:r w:rsidRPr="00E052B6">
      <w:rPr>
        <w:rFonts w:cstheme="minorHAnsi"/>
        <w:sz w:val="18"/>
        <w:szCs w:val="18"/>
      </w:rPr>
      <w:t>. Paseo Niños Héroes #725</w:t>
    </w:r>
    <w:r w:rsidR="00E052B6" w:rsidRPr="00E052B6">
      <w:rPr>
        <w:rFonts w:cstheme="minorHAnsi"/>
        <w:sz w:val="18"/>
        <w:szCs w:val="18"/>
      </w:rPr>
      <w:t>,</w:t>
    </w:r>
    <w:r w:rsidRPr="00E052B6">
      <w:rPr>
        <w:rFonts w:cstheme="minorHAnsi"/>
        <w:sz w:val="18"/>
        <w:szCs w:val="18"/>
      </w:rPr>
      <w:t xml:space="preserve"> Col. Centro, C.P. 80000</w:t>
    </w:r>
    <w:r w:rsidR="00E052B6" w:rsidRPr="00E052B6">
      <w:rPr>
        <w:rFonts w:cstheme="minorHAnsi"/>
        <w:sz w:val="18"/>
        <w:szCs w:val="18"/>
      </w:rPr>
      <w:t>,</w:t>
    </w:r>
    <w:r w:rsidRPr="00E052B6">
      <w:rPr>
        <w:rFonts w:cstheme="minorHAnsi"/>
        <w:sz w:val="18"/>
        <w:szCs w:val="18"/>
      </w:rPr>
      <w:t xml:space="preserve"> Culiacán, Sin</w:t>
    </w:r>
    <w:r w:rsidR="00E052B6" w:rsidRPr="00E052B6">
      <w:rPr>
        <w:rFonts w:cstheme="minorHAnsi"/>
        <w:sz w:val="18"/>
        <w:szCs w:val="18"/>
      </w:rPr>
      <w:t xml:space="preserve">aloa. </w:t>
    </w:r>
    <w:r w:rsidRPr="00E052B6">
      <w:rPr>
        <w:rFonts w:cstheme="minorHAnsi"/>
        <w:sz w:val="18"/>
        <w:szCs w:val="18"/>
      </w:rPr>
      <w:t>Tels. 6675 99 43 33 y 6675 99 51 46</w:t>
    </w:r>
    <w:r w:rsidRPr="00E052B6">
      <w:rPr>
        <w:rFonts w:cstheme="minorHAnsi"/>
        <w:sz w:val="18"/>
        <w:szCs w:val="18"/>
      </w:rPr>
      <w:br/>
    </w:r>
  </w:p>
  <w:bookmarkEnd w:i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E6920" w14:textId="77777777" w:rsidR="00B25E12" w:rsidRDefault="00B25E12" w:rsidP="00781DC0">
      <w:pPr>
        <w:spacing w:after="0" w:line="240" w:lineRule="auto"/>
      </w:pPr>
      <w:r>
        <w:separator/>
      </w:r>
    </w:p>
  </w:footnote>
  <w:footnote w:type="continuationSeparator" w:id="0">
    <w:p w14:paraId="36FECCBA" w14:textId="77777777" w:rsidR="00B25E12" w:rsidRDefault="00B25E12" w:rsidP="00781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3A79" w14:textId="4A45CC36" w:rsidR="00997437" w:rsidRDefault="00A81935">
    <w:pPr>
      <w:pStyle w:val="Encabezado"/>
    </w:pPr>
    <w:r>
      <w:rPr>
        <w:noProof/>
        <w:sz w:val="21"/>
        <w:szCs w:val="21"/>
        <w:lang w:val="es-MX"/>
      </w:rPr>
      <w:drawing>
        <wp:anchor distT="0" distB="0" distL="114300" distR="114300" simplePos="0" relativeHeight="251665408" behindDoc="1" locked="0" layoutInCell="1" allowOverlap="1" wp14:anchorId="72B81B64" wp14:editId="747FC219">
          <wp:simplePos x="0" y="0"/>
          <wp:positionH relativeFrom="column">
            <wp:posOffset>-93980</wp:posOffset>
          </wp:positionH>
          <wp:positionV relativeFrom="paragraph">
            <wp:posOffset>-226060</wp:posOffset>
          </wp:positionV>
          <wp:extent cx="1819275" cy="714321"/>
          <wp:effectExtent l="0" t="0" r="0" b="0"/>
          <wp:wrapNone/>
          <wp:docPr id="80496128" name="Imagen 8049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819275" cy="7143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001B"/>
    <w:multiLevelType w:val="hybridMultilevel"/>
    <w:tmpl w:val="5B10CB62"/>
    <w:lvl w:ilvl="0" w:tplc="080A0001">
      <w:start w:val="1"/>
      <w:numFmt w:val="bullet"/>
      <w:lvlText w:val=""/>
      <w:lvlJc w:val="left"/>
      <w:pPr>
        <w:ind w:left="3905" w:hanging="360"/>
      </w:pPr>
      <w:rPr>
        <w:rFonts w:ascii="Symbol" w:hAnsi="Symbol" w:hint="default"/>
      </w:rPr>
    </w:lvl>
    <w:lvl w:ilvl="1" w:tplc="080A0003" w:tentative="1">
      <w:start w:val="1"/>
      <w:numFmt w:val="bullet"/>
      <w:lvlText w:val="o"/>
      <w:lvlJc w:val="left"/>
      <w:pPr>
        <w:ind w:left="4625" w:hanging="360"/>
      </w:pPr>
      <w:rPr>
        <w:rFonts w:ascii="Courier New" w:hAnsi="Courier New" w:cs="Courier New" w:hint="default"/>
      </w:rPr>
    </w:lvl>
    <w:lvl w:ilvl="2" w:tplc="080A0005" w:tentative="1">
      <w:start w:val="1"/>
      <w:numFmt w:val="bullet"/>
      <w:lvlText w:val=""/>
      <w:lvlJc w:val="left"/>
      <w:pPr>
        <w:ind w:left="5345" w:hanging="360"/>
      </w:pPr>
      <w:rPr>
        <w:rFonts w:ascii="Wingdings" w:hAnsi="Wingdings" w:hint="default"/>
      </w:rPr>
    </w:lvl>
    <w:lvl w:ilvl="3" w:tplc="080A0001" w:tentative="1">
      <w:start w:val="1"/>
      <w:numFmt w:val="bullet"/>
      <w:lvlText w:val=""/>
      <w:lvlJc w:val="left"/>
      <w:pPr>
        <w:ind w:left="6065" w:hanging="360"/>
      </w:pPr>
      <w:rPr>
        <w:rFonts w:ascii="Symbol" w:hAnsi="Symbol" w:hint="default"/>
      </w:rPr>
    </w:lvl>
    <w:lvl w:ilvl="4" w:tplc="080A0003" w:tentative="1">
      <w:start w:val="1"/>
      <w:numFmt w:val="bullet"/>
      <w:lvlText w:val="o"/>
      <w:lvlJc w:val="left"/>
      <w:pPr>
        <w:ind w:left="6785" w:hanging="360"/>
      </w:pPr>
      <w:rPr>
        <w:rFonts w:ascii="Courier New" w:hAnsi="Courier New" w:cs="Courier New" w:hint="default"/>
      </w:rPr>
    </w:lvl>
    <w:lvl w:ilvl="5" w:tplc="080A0005" w:tentative="1">
      <w:start w:val="1"/>
      <w:numFmt w:val="bullet"/>
      <w:lvlText w:val=""/>
      <w:lvlJc w:val="left"/>
      <w:pPr>
        <w:ind w:left="7505" w:hanging="360"/>
      </w:pPr>
      <w:rPr>
        <w:rFonts w:ascii="Wingdings" w:hAnsi="Wingdings" w:hint="default"/>
      </w:rPr>
    </w:lvl>
    <w:lvl w:ilvl="6" w:tplc="080A0001" w:tentative="1">
      <w:start w:val="1"/>
      <w:numFmt w:val="bullet"/>
      <w:lvlText w:val=""/>
      <w:lvlJc w:val="left"/>
      <w:pPr>
        <w:ind w:left="8225" w:hanging="360"/>
      </w:pPr>
      <w:rPr>
        <w:rFonts w:ascii="Symbol" w:hAnsi="Symbol" w:hint="default"/>
      </w:rPr>
    </w:lvl>
    <w:lvl w:ilvl="7" w:tplc="080A0003" w:tentative="1">
      <w:start w:val="1"/>
      <w:numFmt w:val="bullet"/>
      <w:lvlText w:val="o"/>
      <w:lvlJc w:val="left"/>
      <w:pPr>
        <w:ind w:left="8945" w:hanging="360"/>
      </w:pPr>
      <w:rPr>
        <w:rFonts w:ascii="Courier New" w:hAnsi="Courier New" w:cs="Courier New" w:hint="default"/>
      </w:rPr>
    </w:lvl>
    <w:lvl w:ilvl="8" w:tplc="080A0005" w:tentative="1">
      <w:start w:val="1"/>
      <w:numFmt w:val="bullet"/>
      <w:lvlText w:val=""/>
      <w:lvlJc w:val="left"/>
      <w:pPr>
        <w:ind w:left="9665" w:hanging="360"/>
      </w:pPr>
      <w:rPr>
        <w:rFonts w:ascii="Wingdings" w:hAnsi="Wingdings" w:hint="default"/>
      </w:rPr>
    </w:lvl>
  </w:abstractNum>
  <w:abstractNum w:abstractNumId="1">
    <w:nsid w:val="21B0067B"/>
    <w:multiLevelType w:val="hybridMultilevel"/>
    <w:tmpl w:val="0302A082"/>
    <w:lvl w:ilvl="0" w:tplc="04404742">
      <w:start w:val="1"/>
      <w:numFmt w:val="decimal"/>
      <w:lvlText w:val="%1."/>
      <w:lvlJc w:val="left"/>
      <w:pPr>
        <w:ind w:left="720" w:hanging="360"/>
      </w:pPr>
      <w:rPr>
        <w:rFonts w:ascii="Arial" w:hAnsi="Arial" w:hint="default"/>
        <w:b w:val="0"/>
        <w:color w:val="404040" w:themeColor="text1" w:themeTint="BF"/>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4835D2"/>
    <w:multiLevelType w:val="hybridMultilevel"/>
    <w:tmpl w:val="0730FB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4B451CF"/>
    <w:multiLevelType w:val="hybridMultilevel"/>
    <w:tmpl w:val="913E8B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FCA6F44"/>
    <w:multiLevelType w:val="hybridMultilevel"/>
    <w:tmpl w:val="4A1C8AE0"/>
    <w:lvl w:ilvl="0" w:tplc="E380532C">
      <w:start w:val="1"/>
      <w:numFmt w:val="upp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43D07D1"/>
    <w:multiLevelType w:val="hybridMultilevel"/>
    <w:tmpl w:val="519C5C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C581747"/>
    <w:multiLevelType w:val="hybridMultilevel"/>
    <w:tmpl w:val="16ECDB9A"/>
    <w:lvl w:ilvl="0" w:tplc="0964B966">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7F634B98"/>
    <w:multiLevelType w:val="hybridMultilevel"/>
    <w:tmpl w:val="4A1A4610"/>
    <w:lvl w:ilvl="0" w:tplc="D9F8C1E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EC"/>
    <w:rsid w:val="000014AF"/>
    <w:rsid w:val="00011A83"/>
    <w:rsid w:val="00015D10"/>
    <w:rsid w:val="00063A2C"/>
    <w:rsid w:val="00094EA3"/>
    <w:rsid w:val="00095802"/>
    <w:rsid w:val="000C5F44"/>
    <w:rsid w:val="000E6624"/>
    <w:rsid w:val="000F3CD5"/>
    <w:rsid w:val="00107544"/>
    <w:rsid w:val="00107951"/>
    <w:rsid w:val="001163DB"/>
    <w:rsid w:val="001179A1"/>
    <w:rsid w:val="00137B14"/>
    <w:rsid w:val="001426FF"/>
    <w:rsid w:val="00147B4C"/>
    <w:rsid w:val="00171CB2"/>
    <w:rsid w:val="00177D14"/>
    <w:rsid w:val="00181848"/>
    <w:rsid w:val="00190250"/>
    <w:rsid w:val="00194F8F"/>
    <w:rsid w:val="001C5226"/>
    <w:rsid w:val="001D761E"/>
    <w:rsid w:val="001E6C50"/>
    <w:rsid w:val="001F0857"/>
    <w:rsid w:val="001F2B21"/>
    <w:rsid w:val="00200921"/>
    <w:rsid w:val="002151C1"/>
    <w:rsid w:val="00215CA2"/>
    <w:rsid w:val="00222CAB"/>
    <w:rsid w:val="002253B9"/>
    <w:rsid w:val="00242B70"/>
    <w:rsid w:val="00250F2E"/>
    <w:rsid w:val="00282880"/>
    <w:rsid w:val="00290F63"/>
    <w:rsid w:val="00297DB1"/>
    <w:rsid w:val="002A0AB0"/>
    <w:rsid w:val="002B4BA2"/>
    <w:rsid w:val="002D26DA"/>
    <w:rsid w:val="002E17C5"/>
    <w:rsid w:val="0031143E"/>
    <w:rsid w:val="00316065"/>
    <w:rsid w:val="003214B2"/>
    <w:rsid w:val="003303B2"/>
    <w:rsid w:val="00332742"/>
    <w:rsid w:val="00347761"/>
    <w:rsid w:val="00356E59"/>
    <w:rsid w:val="0035715F"/>
    <w:rsid w:val="00361AD8"/>
    <w:rsid w:val="0036449A"/>
    <w:rsid w:val="00371908"/>
    <w:rsid w:val="003851AC"/>
    <w:rsid w:val="00394FAD"/>
    <w:rsid w:val="003A6457"/>
    <w:rsid w:val="003B0CBD"/>
    <w:rsid w:val="003F3A11"/>
    <w:rsid w:val="00413065"/>
    <w:rsid w:val="00432177"/>
    <w:rsid w:val="00432C33"/>
    <w:rsid w:val="004B537D"/>
    <w:rsid w:val="004B6B51"/>
    <w:rsid w:val="004D6EFB"/>
    <w:rsid w:val="00503BFD"/>
    <w:rsid w:val="00511CD9"/>
    <w:rsid w:val="00531299"/>
    <w:rsid w:val="00532232"/>
    <w:rsid w:val="005322B7"/>
    <w:rsid w:val="00547CFB"/>
    <w:rsid w:val="00561E1A"/>
    <w:rsid w:val="00565A74"/>
    <w:rsid w:val="00567AD8"/>
    <w:rsid w:val="005818E8"/>
    <w:rsid w:val="00595A67"/>
    <w:rsid w:val="005A58B4"/>
    <w:rsid w:val="005B7EE1"/>
    <w:rsid w:val="005D197A"/>
    <w:rsid w:val="005F3C7E"/>
    <w:rsid w:val="006118FE"/>
    <w:rsid w:val="006131A7"/>
    <w:rsid w:val="00613992"/>
    <w:rsid w:val="0064396F"/>
    <w:rsid w:val="00646722"/>
    <w:rsid w:val="0065654D"/>
    <w:rsid w:val="00667AED"/>
    <w:rsid w:val="0067334A"/>
    <w:rsid w:val="006756C6"/>
    <w:rsid w:val="00686BC4"/>
    <w:rsid w:val="00691A4D"/>
    <w:rsid w:val="006A26B3"/>
    <w:rsid w:val="006A67B0"/>
    <w:rsid w:val="006C6CAB"/>
    <w:rsid w:val="006E0E70"/>
    <w:rsid w:val="006E38EB"/>
    <w:rsid w:val="006E65F7"/>
    <w:rsid w:val="006E7011"/>
    <w:rsid w:val="00702F07"/>
    <w:rsid w:val="007218B9"/>
    <w:rsid w:val="00725061"/>
    <w:rsid w:val="0072649B"/>
    <w:rsid w:val="00727FCE"/>
    <w:rsid w:val="0074185E"/>
    <w:rsid w:val="007626BE"/>
    <w:rsid w:val="00762B71"/>
    <w:rsid w:val="007753EC"/>
    <w:rsid w:val="00781DC0"/>
    <w:rsid w:val="007875B9"/>
    <w:rsid w:val="0079236F"/>
    <w:rsid w:val="007B0315"/>
    <w:rsid w:val="007B5D94"/>
    <w:rsid w:val="007E7A5E"/>
    <w:rsid w:val="007F6E3D"/>
    <w:rsid w:val="008010AA"/>
    <w:rsid w:val="00807369"/>
    <w:rsid w:val="00823654"/>
    <w:rsid w:val="008239F3"/>
    <w:rsid w:val="008264E2"/>
    <w:rsid w:val="00830E0A"/>
    <w:rsid w:val="008426EF"/>
    <w:rsid w:val="00850915"/>
    <w:rsid w:val="00854112"/>
    <w:rsid w:val="008549F8"/>
    <w:rsid w:val="00861C49"/>
    <w:rsid w:val="00874ACC"/>
    <w:rsid w:val="00883050"/>
    <w:rsid w:val="008A5660"/>
    <w:rsid w:val="008A691C"/>
    <w:rsid w:val="008B102A"/>
    <w:rsid w:val="008D194D"/>
    <w:rsid w:val="008D3B9A"/>
    <w:rsid w:val="008D41FD"/>
    <w:rsid w:val="008D6E2D"/>
    <w:rsid w:val="00905C75"/>
    <w:rsid w:val="00907B20"/>
    <w:rsid w:val="00912AB3"/>
    <w:rsid w:val="00921F68"/>
    <w:rsid w:val="00922FA6"/>
    <w:rsid w:val="009257E1"/>
    <w:rsid w:val="00926D86"/>
    <w:rsid w:val="00946C1B"/>
    <w:rsid w:val="00947033"/>
    <w:rsid w:val="009649FB"/>
    <w:rsid w:val="00990442"/>
    <w:rsid w:val="00990F10"/>
    <w:rsid w:val="00997437"/>
    <w:rsid w:val="009975C2"/>
    <w:rsid w:val="009B778B"/>
    <w:rsid w:val="009C049C"/>
    <w:rsid w:val="009C2606"/>
    <w:rsid w:val="009C2B13"/>
    <w:rsid w:val="009C4CA4"/>
    <w:rsid w:val="009F26E3"/>
    <w:rsid w:val="00A206C0"/>
    <w:rsid w:val="00A256D1"/>
    <w:rsid w:val="00A27755"/>
    <w:rsid w:val="00A33B03"/>
    <w:rsid w:val="00A4647A"/>
    <w:rsid w:val="00A52C26"/>
    <w:rsid w:val="00A5651D"/>
    <w:rsid w:val="00A56E56"/>
    <w:rsid w:val="00A6075E"/>
    <w:rsid w:val="00A64295"/>
    <w:rsid w:val="00A64AEC"/>
    <w:rsid w:val="00A81935"/>
    <w:rsid w:val="00A85088"/>
    <w:rsid w:val="00A95D44"/>
    <w:rsid w:val="00AA42BD"/>
    <w:rsid w:val="00AB60DD"/>
    <w:rsid w:val="00AC02A9"/>
    <w:rsid w:val="00AC25AB"/>
    <w:rsid w:val="00AD2C31"/>
    <w:rsid w:val="00AD44BC"/>
    <w:rsid w:val="00AF0880"/>
    <w:rsid w:val="00AF2EFE"/>
    <w:rsid w:val="00B0133C"/>
    <w:rsid w:val="00B1345B"/>
    <w:rsid w:val="00B22281"/>
    <w:rsid w:val="00B25E12"/>
    <w:rsid w:val="00B2671C"/>
    <w:rsid w:val="00B377FD"/>
    <w:rsid w:val="00B46960"/>
    <w:rsid w:val="00B636FB"/>
    <w:rsid w:val="00B76A61"/>
    <w:rsid w:val="00B85816"/>
    <w:rsid w:val="00B861C1"/>
    <w:rsid w:val="00BA0D07"/>
    <w:rsid w:val="00BA2AA7"/>
    <w:rsid w:val="00BA418F"/>
    <w:rsid w:val="00BA5136"/>
    <w:rsid w:val="00BB3534"/>
    <w:rsid w:val="00BB6384"/>
    <w:rsid w:val="00BD39D4"/>
    <w:rsid w:val="00BE268F"/>
    <w:rsid w:val="00BE32D3"/>
    <w:rsid w:val="00BF4602"/>
    <w:rsid w:val="00C02132"/>
    <w:rsid w:val="00C024AA"/>
    <w:rsid w:val="00C318FF"/>
    <w:rsid w:val="00C31AEC"/>
    <w:rsid w:val="00C42EE5"/>
    <w:rsid w:val="00C70A1A"/>
    <w:rsid w:val="00C71093"/>
    <w:rsid w:val="00C732B8"/>
    <w:rsid w:val="00C91CC5"/>
    <w:rsid w:val="00CC49F0"/>
    <w:rsid w:val="00CE2608"/>
    <w:rsid w:val="00CE2FEE"/>
    <w:rsid w:val="00D13F6B"/>
    <w:rsid w:val="00D224CB"/>
    <w:rsid w:val="00D22A10"/>
    <w:rsid w:val="00D41EC7"/>
    <w:rsid w:val="00D547F8"/>
    <w:rsid w:val="00D64B12"/>
    <w:rsid w:val="00D6685D"/>
    <w:rsid w:val="00D71CE4"/>
    <w:rsid w:val="00D7247B"/>
    <w:rsid w:val="00D753E4"/>
    <w:rsid w:val="00DA33F7"/>
    <w:rsid w:val="00DA46B5"/>
    <w:rsid w:val="00DA781D"/>
    <w:rsid w:val="00DB1E06"/>
    <w:rsid w:val="00DB4EB2"/>
    <w:rsid w:val="00DC5274"/>
    <w:rsid w:val="00DD6139"/>
    <w:rsid w:val="00DD61B8"/>
    <w:rsid w:val="00DE2CE4"/>
    <w:rsid w:val="00DF6C5D"/>
    <w:rsid w:val="00E052B6"/>
    <w:rsid w:val="00E10B40"/>
    <w:rsid w:val="00E125E7"/>
    <w:rsid w:val="00E15FBE"/>
    <w:rsid w:val="00E261C3"/>
    <w:rsid w:val="00E33C14"/>
    <w:rsid w:val="00E6171B"/>
    <w:rsid w:val="00E6306C"/>
    <w:rsid w:val="00E646BE"/>
    <w:rsid w:val="00E746E0"/>
    <w:rsid w:val="00E93AEA"/>
    <w:rsid w:val="00E971C7"/>
    <w:rsid w:val="00EA2C4B"/>
    <w:rsid w:val="00EB59A6"/>
    <w:rsid w:val="00EC4315"/>
    <w:rsid w:val="00EC69F0"/>
    <w:rsid w:val="00ED4F00"/>
    <w:rsid w:val="00EF34DB"/>
    <w:rsid w:val="00EF4E55"/>
    <w:rsid w:val="00F32E06"/>
    <w:rsid w:val="00F45832"/>
    <w:rsid w:val="00F52658"/>
    <w:rsid w:val="00F60135"/>
    <w:rsid w:val="00F91622"/>
    <w:rsid w:val="00F91CF1"/>
    <w:rsid w:val="00FD15BA"/>
    <w:rsid w:val="00FE1C74"/>
    <w:rsid w:val="00FF43FD"/>
    <w:rsid w:val="00FF47A3"/>
    <w:rsid w:val="00FF75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47A2519"/>
  <w15:docId w15:val="{7BCE6989-A8ED-44EF-BCCC-45476BF6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F2E"/>
    <w:pPr>
      <w:spacing w:after="200" w:line="276" w:lineRule="auto"/>
    </w:pPr>
    <w:rPr>
      <w:rFonts w:ascii="Arial" w:eastAsia="Arial" w:hAnsi="Arial" w:cs="Arial"/>
      <w:sz w:val="20"/>
      <w:szCs w:val="20"/>
      <w:lang w:val="es-VE" w:eastAsia="es-MX"/>
    </w:rPr>
  </w:style>
  <w:style w:type="paragraph" w:styleId="Ttulo2">
    <w:name w:val="heading 2"/>
    <w:basedOn w:val="Normal"/>
    <w:link w:val="Ttulo2Car"/>
    <w:uiPriority w:val="9"/>
    <w:qFormat/>
    <w:rsid w:val="00561E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1622"/>
    <w:pPr>
      <w:ind w:left="720"/>
      <w:contextualSpacing/>
    </w:pPr>
  </w:style>
  <w:style w:type="paragraph" w:styleId="Encabezado">
    <w:name w:val="header"/>
    <w:basedOn w:val="Normal"/>
    <w:link w:val="EncabezadoCar"/>
    <w:uiPriority w:val="99"/>
    <w:unhideWhenUsed/>
    <w:rsid w:val="00781D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1DC0"/>
  </w:style>
  <w:style w:type="paragraph" w:styleId="Piedepgina">
    <w:name w:val="footer"/>
    <w:basedOn w:val="Normal"/>
    <w:link w:val="PiedepginaCar"/>
    <w:uiPriority w:val="99"/>
    <w:unhideWhenUsed/>
    <w:rsid w:val="00781D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DC0"/>
  </w:style>
  <w:style w:type="paragraph" w:styleId="Textodeglobo">
    <w:name w:val="Balloon Text"/>
    <w:basedOn w:val="Normal"/>
    <w:link w:val="TextodegloboCar"/>
    <w:uiPriority w:val="99"/>
    <w:semiHidden/>
    <w:unhideWhenUsed/>
    <w:rsid w:val="00781D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1DC0"/>
    <w:rPr>
      <w:rFonts w:ascii="Segoe UI" w:hAnsi="Segoe UI" w:cs="Segoe UI"/>
      <w:sz w:val="18"/>
      <w:szCs w:val="18"/>
    </w:rPr>
  </w:style>
  <w:style w:type="table" w:styleId="Tablaconcuadrcula">
    <w:name w:val="Table Grid"/>
    <w:basedOn w:val="Tablanormal"/>
    <w:uiPriority w:val="39"/>
    <w:rsid w:val="00194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E1C74"/>
    <w:rPr>
      <w:color w:val="0563C1"/>
      <w:u w:val="single"/>
    </w:rPr>
  </w:style>
  <w:style w:type="character" w:customStyle="1" w:styleId="Ttulo2Car">
    <w:name w:val="Título 2 Car"/>
    <w:basedOn w:val="Fuentedeprrafopredeter"/>
    <w:link w:val="Ttulo2"/>
    <w:uiPriority w:val="9"/>
    <w:rsid w:val="00561E1A"/>
    <w:rPr>
      <w:rFonts w:ascii="Times New Roman" w:eastAsia="Times New Roman" w:hAnsi="Times New Roman" w:cs="Times New Roman"/>
      <w:b/>
      <w:bCs/>
      <w:sz w:val="36"/>
      <w:szCs w:val="36"/>
      <w:lang w:eastAsia="es-MX"/>
    </w:rPr>
  </w:style>
  <w:style w:type="table" w:customStyle="1" w:styleId="Tablaconcuadrcula7concolores-nfasis31">
    <w:name w:val="Tabla con cuadrícula 7 con colores - Énfasis 31"/>
    <w:basedOn w:val="Tablanormal"/>
    <w:uiPriority w:val="52"/>
    <w:rsid w:val="00250F2E"/>
    <w:pPr>
      <w:spacing w:after="0" w:line="240" w:lineRule="auto"/>
    </w:pPr>
    <w:rPr>
      <w:rFonts w:ascii="Arial" w:eastAsia="Arial" w:hAnsi="Arial" w:cs="Arial"/>
      <w:color w:val="7B7B7B" w:themeColor="accent3" w:themeShade="BF"/>
      <w:sz w:val="20"/>
      <w:szCs w:val="20"/>
      <w:lang w:val="es-VE" w:eastAsia="es-MX"/>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normal1">
    <w:name w:val="Plain Table 1"/>
    <w:basedOn w:val="Tablanormal"/>
    <w:uiPriority w:val="41"/>
    <w:rsid w:val="0053223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17486">
      <w:bodyDiv w:val="1"/>
      <w:marLeft w:val="0"/>
      <w:marRight w:val="0"/>
      <w:marTop w:val="0"/>
      <w:marBottom w:val="0"/>
      <w:divBdr>
        <w:top w:val="none" w:sz="0" w:space="0" w:color="auto"/>
        <w:left w:val="none" w:sz="0" w:space="0" w:color="auto"/>
        <w:bottom w:val="none" w:sz="0" w:space="0" w:color="auto"/>
        <w:right w:val="none" w:sz="0" w:space="0" w:color="auto"/>
      </w:divBdr>
    </w:div>
    <w:div w:id="292712124">
      <w:bodyDiv w:val="1"/>
      <w:marLeft w:val="0"/>
      <w:marRight w:val="0"/>
      <w:marTop w:val="0"/>
      <w:marBottom w:val="0"/>
      <w:divBdr>
        <w:top w:val="none" w:sz="0" w:space="0" w:color="auto"/>
        <w:left w:val="none" w:sz="0" w:space="0" w:color="auto"/>
        <w:bottom w:val="none" w:sz="0" w:space="0" w:color="auto"/>
        <w:right w:val="none" w:sz="0" w:space="0" w:color="auto"/>
      </w:divBdr>
    </w:div>
    <w:div w:id="458493327">
      <w:bodyDiv w:val="1"/>
      <w:marLeft w:val="0"/>
      <w:marRight w:val="0"/>
      <w:marTop w:val="0"/>
      <w:marBottom w:val="0"/>
      <w:divBdr>
        <w:top w:val="none" w:sz="0" w:space="0" w:color="auto"/>
        <w:left w:val="none" w:sz="0" w:space="0" w:color="auto"/>
        <w:bottom w:val="none" w:sz="0" w:space="0" w:color="auto"/>
        <w:right w:val="none" w:sz="0" w:space="0" w:color="auto"/>
      </w:divBdr>
    </w:div>
    <w:div w:id="572590665">
      <w:bodyDiv w:val="1"/>
      <w:marLeft w:val="0"/>
      <w:marRight w:val="0"/>
      <w:marTop w:val="0"/>
      <w:marBottom w:val="0"/>
      <w:divBdr>
        <w:top w:val="none" w:sz="0" w:space="0" w:color="auto"/>
        <w:left w:val="none" w:sz="0" w:space="0" w:color="auto"/>
        <w:bottom w:val="none" w:sz="0" w:space="0" w:color="auto"/>
        <w:right w:val="none" w:sz="0" w:space="0" w:color="auto"/>
      </w:divBdr>
    </w:div>
    <w:div w:id="667248444">
      <w:bodyDiv w:val="1"/>
      <w:marLeft w:val="0"/>
      <w:marRight w:val="0"/>
      <w:marTop w:val="0"/>
      <w:marBottom w:val="0"/>
      <w:divBdr>
        <w:top w:val="none" w:sz="0" w:space="0" w:color="auto"/>
        <w:left w:val="none" w:sz="0" w:space="0" w:color="auto"/>
        <w:bottom w:val="none" w:sz="0" w:space="0" w:color="auto"/>
        <w:right w:val="none" w:sz="0" w:space="0" w:color="auto"/>
      </w:divBdr>
    </w:div>
    <w:div w:id="903567044">
      <w:bodyDiv w:val="1"/>
      <w:marLeft w:val="0"/>
      <w:marRight w:val="0"/>
      <w:marTop w:val="0"/>
      <w:marBottom w:val="0"/>
      <w:divBdr>
        <w:top w:val="none" w:sz="0" w:space="0" w:color="auto"/>
        <w:left w:val="none" w:sz="0" w:space="0" w:color="auto"/>
        <w:bottom w:val="none" w:sz="0" w:space="0" w:color="auto"/>
        <w:right w:val="none" w:sz="0" w:space="0" w:color="auto"/>
      </w:divBdr>
    </w:div>
    <w:div w:id="1109541364">
      <w:bodyDiv w:val="1"/>
      <w:marLeft w:val="0"/>
      <w:marRight w:val="0"/>
      <w:marTop w:val="0"/>
      <w:marBottom w:val="0"/>
      <w:divBdr>
        <w:top w:val="none" w:sz="0" w:space="0" w:color="auto"/>
        <w:left w:val="none" w:sz="0" w:space="0" w:color="auto"/>
        <w:bottom w:val="none" w:sz="0" w:space="0" w:color="auto"/>
        <w:right w:val="none" w:sz="0" w:space="0" w:color="auto"/>
      </w:divBdr>
    </w:div>
    <w:div w:id="1485470487">
      <w:bodyDiv w:val="1"/>
      <w:marLeft w:val="0"/>
      <w:marRight w:val="0"/>
      <w:marTop w:val="0"/>
      <w:marBottom w:val="0"/>
      <w:divBdr>
        <w:top w:val="none" w:sz="0" w:space="0" w:color="auto"/>
        <w:left w:val="none" w:sz="0" w:space="0" w:color="auto"/>
        <w:bottom w:val="none" w:sz="0" w:space="0" w:color="auto"/>
        <w:right w:val="none" w:sz="0" w:space="0" w:color="auto"/>
      </w:divBdr>
    </w:div>
    <w:div w:id="1586918719">
      <w:bodyDiv w:val="1"/>
      <w:marLeft w:val="0"/>
      <w:marRight w:val="0"/>
      <w:marTop w:val="0"/>
      <w:marBottom w:val="0"/>
      <w:divBdr>
        <w:top w:val="none" w:sz="0" w:space="0" w:color="auto"/>
        <w:left w:val="none" w:sz="0" w:space="0" w:color="auto"/>
        <w:bottom w:val="none" w:sz="0" w:space="0" w:color="auto"/>
        <w:right w:val="none" w:sz="0" w:space="0" w:color="auto"/>
      </w:divBdr>
    </w:div>
    <w:div w:id="2039967725">
      <w:bodyDiv w:val="1"/>
      <w:marLeft w:val="0"/>
      <w:marRight w:val="0"/>
      <w:marTop w:val="0"/>
      <w:marBottom w:val="0"/>
      <w:divBdr>
        <w:top w:val="none" w:sz="0" w:space="0" w:color="auto"/>
        <w:left w:val="none" w:sz="0" w:space="0" w:color="auto"/>
        <w:bottom w:val="none" w:sz="0" w:space="0" w:color="auto"/>
        <w:right w:val="none" w:sz="0" w:space="0" w:color="auto"/>
      </w:divBdr>
    </w:div>
    <w:div w:id="21404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sinaloa.gob.mx/p/datos-abiert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ansparencia.sinaloa.gob.mx/p/datos-abiert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908F0-BF68-4515-8FE8-EDA78244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712</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4</dc:creator>
  <cp:keywords/>
  <dc:description/>
  <cp:lastModifiedBy>Usuario</cp:lastModifiedBy>
  <cp:revision>9</cp:revision>
  <cp:lastPrinted>2025-02-14T16:53:00Z</cp:lastPrinted>
  <dcterms:created xsi:type="dcterms:W3CDTF">2025-02-14T14:54:00Z</dcterms:created>
  <dcterms:modified xsi:type="dcterms:W3CDTF">2025-02-18T19:34:00Z</dcterms:modified>
</cp:coreProperties>
</file>