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26"/>
        </w:rPr>
      </w:pPr>
    </w:p>
    <w:p>
      <w:pPr>
        <w:pStyle w:val="BodyText"/>
        <w:spacing w:before="92"/>
        <w:ind w:left="1523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513587</wp:posOffset>
            </wp:positionH>
            <wp:positionV relativeFrom="paragraph">
              <wp:posOffset>-485012</wp:posOffset>
            </wp:positionV>
            <wp:extent cx="580644" cy="95250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4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5</w:t>
      </w:r>
    </w:p>
    <w:p>
      <w:pPr>
        <w:pStyle w:val="BodyText"/>
        <w:spacing w:before="52"/>
        <w:ind w:left="1523"/>
      </w:pPr>
      <w:r>
        <w:rPr/>
        <w:t>Asignación a Órganos Autónomos</w:t>
      </w:r>
    </w:p>
    <w:p>
      <w:pPr>
        <w:spacing w:line="240" w:lineRule="auto" w:before="5"/>
        <w:rPr>
          <w:b/>
          <w:sz w:val="8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4"/>
        <w:gridCol w:w="3851"/>
      </w:tblGrid>
      <w:tr>
        <w:trPr>
          <w:trHeight w:val="686" w:hRule="atLeast"/>
        </w:trPr>
        <w:tc>
          <w:tcPr>
            <w:tcW w:w="7304" w:type="dxa"/>
            <w:shd w:val="clear" w:color="auto" w:fill="5B2135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Denominación</w:t>
            </w:r>
          </w:p>
        </w:tc>
        <w:tc>
          <w:tcPr>
            <w:tcW w:w="3851" w:type="dxa"/>
            <w:shd w:val="clear" w:color="auto" w:fill="5B2135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right="293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</w:p>
        </w:tc>
      </w:tr>
      <w:tr>
        <w:trPr>
          <w:trHeight w:val="431" w:hRule="atLeast"/>
        </w:trPr>
        <w:tc>
          <w:tcPr>
            <w:tcW w:w="7304" w:type="dxa"/>
          </w:tcPr>
          <w:p>
            <w:pPr>
              <w:pStyle w:val="TableParagraph"/>
              <w:spacing w:before="135"/>
              <w:ind w:left="4215" w:right="26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3851" w:type="dxa"/>
          </w:tcPr>
          <w:p>
            <w:pPr>
              <w:pStyle w:val="TableParagraph"/>
              <w:spacing w:before="128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$1,406,474,540</w:t>
            </w:r>
          </w:p>
        </w:tc>
      </w:tr>
      <w:tr>
        <w:trPr>
          <w:trHeight w:val="459" w:hRule="atLeast"/>
        </w:trPr>
        <w:tc>
          <w:tcPr>
            <w:tcW w:w="7304" w:type="dxa"/>
          </w:tcPr>
          <w:p>
            <w:pPr>
              <w:pStyle w:val="TableParagraph"/>
              <w:spacing w:before="107"/>
              <w:ind w:left="182"/>
              <w:rPr>
                <w:sz w:val="16"/>
              </w:rPr>
            </w:pPr>
            <w:r>
              <w:rPr>
                <w:sz w:val="16"/>
              </w:rPr>
              <w:t>Comisión Estatal de Derechos Humanos</w:t>
            </w:r>
          </w:p>
        </w:tc>
        <w:tc>
          <w:tcPr>
            <w:tcW w:w="3851" w:type="dxa"/>
          </w:tcPr>
          <w:p>
            <w:pPr>
              <w:pStyle w:val="TableParagraph"/>
              <w:spacing w:before="107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44,031,968</w:t>
            </w:r>
          </w:p>
        </w:tc>
      </w:tr>
      <w:tr>
        <w:trPr>
          <w:trHeight w:val="516" w:hRule="atLeast"/>
        </w:trPr>
        <w:tc>
          <w:tcPr>
            <w:tcW w:w="7304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Tribunal de Justicia Administrativa del Estado de Sinaloa</w:t>
            </w:r>
          </w:p>
        </w:tc>
        <w:tc>
          <w:tcPr>
            <w:tcW w:w="3851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103,505,617</w:t>
            </w:r>
          </w:p>
        </w:tc>
      </w:tr>
      <w:tr>
        <w:trPr>
          <w:trHeight w:val="516" w:hRule="atLeast"/>
        </w:trPr>
        <w:tc>
          <w:tcPr>
            <w:tcW w:w="7304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Comisión Estatal para el Acceso a la Información Pública</w:t>
            </w:r>
          </w:p>
        </w:tc>
        <w:tc>
          <w:tcPr>
            <w:tcW w:w="3851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36,953,771</w:t>
            </w:r>
          </w:p>
        </w:tc>
      </w:tr>
      <w:tr>
        <w:trPr>
          <w:trHeight w:val="516" w:hRule="atLeast"/>
        </w:trPr>
        <w:tc>
          <w:tcPr>
            <w:tcW w:w="7304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Fiscalía General del Estado</w:t>
            </w:r>
          </w:p>
        </w:tc>
        <w:tc>
          <w:tcPr>
            <w:tcW w:w="3851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925,143,421</w:t>
            </w:r>
          </w:p>
        </w:tc>
      </w:tr>
      <w:tr>
        <w:trPr>
          <w:trHeight w:val="608" w:hRule="atLeast"/>
        </w:trPr>
        <w:tc>
          <w:tcPr>
            <w:tcW w:w="7304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82" w:right="1805"/>
              <w:rPr>
                <w:sz w:val="16"/>
              </w:rPr>
            </w:pPr>
            <w:r>
              <w:rPr>
                <w:sz w:val="16"/>
              </w:rPr>
              <w:t>Instituto para la Protección de Personas Defensoras de Derechos Humanos y Periodistas</w:t>
            </w:r>
          </w:p>
        </w:tc>
        <w:tc>
          <w:tcPr>
            <w:tcW w:w="3851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12,000,000</w:t>
            </w:r>
          </w:p>
        </w:tc>
      </w:tr>
      <w:tr>
        <w:trPr>
          <w:trHeight w:val="416" w:hRule="atLeast"/>
        </w:trPr>
        <w:tc>
          <w:tcPr>
            <w:tcW w:w="7304" w:type="dxa"/>
          </w:tcPr>
          <w:p>
            <w:pPr>
              <w:pStyle w:val="TableParagraph"/>
              <w:spacing w:before="71"/>
              <w:ind w:left="182"/>
              <w:rPr>
                <w:sz w:val="16"/>
              </w:rPr>
            </w:pPr>
            <w:r>
              <w:rPr>
                <w:sz w:val="16"/>
              </w:rPr>
              <w:t>Financiamiento Público a Partidos Políticos</w:t>
            </w:r>
          </w:p>
        </w:tc>
        <w:tc>
          <w:tcPr>
            <w:tcW w:w="3851" w:type="dxa"/>
          </w:tcPr>
          <w:p>
            <w:pPr>
              <w:pStyle w:val="TableParagraph"/>
              <w:spacing w:before="71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145,395,566</w:t>
            </w:r>
          </w:p>
        </w:tc>
      </w:tr>
      <w:tr>
        <w:trPr>
          <w:trHeight w:val="475" w:hRule="atLeast"/>
        </w:trPr>
        <w:tc>
          <w:tcPr>
            <w:tcW w:w="7304" w:type="dxa"/>
          </w:tcPr>
          <w:p>
            <w:pPr>
              <w:pStyle w:val="TableParagraph"/>
              <w:spacing w:before="156"/>
              <w:ind w:left="182"/>
              <w:rPr>
                <w:sz w:val="16"/>
              </w:rPr>
            </w:pPr>
            <w:r>
              <w:rPr>
                <w:sz w:val="16"/>
              </w:rPr>
              <w:t>Instituto Electoral del Estado de Sinaloa</w:t>
            </w:r>
          </w:p>
        </w:tc>
        <w:tc>
          <w:tcPr>
            <w:tcW w:w="3851" w:type="dxa"/>
          </w:tcPr>
          <w:p>
            <w:pPr>
              <w:pStyle w:val="TableParagraph"/>
              <w:spacing w:before="156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95,548,782</w:t>
            </w:r>
          </w:p>
        </w:tc>
      </w:tr>
      <w:tr>
        <w:trPr>
          <w:trHeight w:val="314" w:hRule="atLeast"/>
        </w:trPr>
        <w:tc>
          <w:tcPr>
            <w:tcW w:w="7304" w:type="dxa"/>
          </w:tcPr>
          <w:p>
            <w:pPr>
              <w:pStyle w:val="TableParagraph"/>
              <w:spacing w:line="164" w:lineRule="exact" w:before="130"/>
              <w:ind w:left="182"/>
              <w:rPr>
                <w:sz w:val="16"/>
              </w:rPr>
            </w:pPr>
            <w:r>
              <w:rPr>
                <w:sz w:val="16"/>
              </w:rPr>
              <w:t>Tribunal Electoral del Estado de Sinaloa</w:t>
            </w:r>
          </w:p>
        </w:tc>
        <w:tc>
          <w:tcPr>
            <w:tcW w:w="3851" w:type="dxa"/>
          </w:tcPr>
          <w:p>
            <w:pPr>
              <w:pStyle w:val="TableParagraph"/>
              <w:spacing w:line="164" w:lineRule="exact" w:before="13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43,895,415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2023-02-01T20:38:12Z</dcterms:created>
  <dcterms:modified xsi:type="dcterms:W3CDTF">2023-02-01T20:38:12Z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2023-02-01T00:00:00Z</vt:filetime>
  </property>
</Properties>
</file>