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154"/>
        <w:ind w:left="0" w:right="38"/>
        <w:jc w:val="right"/>
      </w:pPr>
      <w:r>
        <w:rPr>
          <w:w w:val="95"/>
        </w:rPr>
        <w:t>Total</w:t>
      </w:r>
    </w:p>
    <w:p>
      <w:pPr>
        <w:spacing w:before="108"/>
        <w:ind w:left="0" w:right="165" w:firstLine="0"/>
        <w:jc w:val="right"/>
        <w:rPr>
          <w:b/>
          <w:sz w:val="16"/>
        </w:rPr>
      </w:pPr>
      <w:r>
        <w:rPr/>
        <w:br w:type="column"/>
      </w:r>
      <w:r>
        <w:rPr>
          <w:b/>
          <w:w w:val="95"/>
          <w:sz w:val="16"/>
        </w:rPr>
        <w:t>$58,139,159,321</w:t>
      </w:r>
    </w:p>
    <w:p>
      <w:pPr>
        <w:spacing w:after="0"/>
        <w:jc w:val="right"/>
        <w:rPr>
          <w:sz w:val="16"/>
        </w:rPr>
        <w:sectPr>
          <w:headerReference w:type="default" r:id="rId5"/>
          <w:type w:val="continuous"/>
          <w:pgSz w:w="12240" w:h="15840"/>
          <w:pgMar w:header="343" w:top="2660" w:bottom="280" w:left="740" w:right="540"/>
          <w:cols w:num="2" w:equalWidth="0">
            <w:col w:w="4604" w:space="808"/>
            <w:col w:w="5548"/>
          </w:cols>
        </w:sectPr>
      </w:pPr>
    </w:p>
    <w:p>
      <w:pPr>
        <w:tabs>
          <w:tab w:pos="9771" w:val="left" w:leader="none"/>
        </w:tabs>
        <w:spacing w:before="72"/>
        <w:ind w:left="157" w:right="0" w:firstLine="0"/>
        <w:jc w:val="left"/>
        <w:rPr>
          <w:b/>
          <w:sz w:val="16"/>
        </w:rPr>
      </w:pPr>
      <w:r>
        <w:rPr>
          <w:b/>
          <w:sz w:val="16"/>
        </w:rPr>
        <w:t>Servicios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personales</w:t>
        <w:tab/>
        <w:t>7,036,312,389</w:t>
      </w:r>
    </w:p>
    <w:p>
      <w:pPr>
        <w:tabs>
          <w:tab w:pos="9601" w:val="left" w:leader="none"/>
        </w:tabs>
        <w:spacing w:before="82"/>
        <w:ind w:left="244" w:right="0" w:firstLine="0"/>
        <w:jc w:val="center"/>
        <w:rPr>
          <w:b/>
          <w:sz w:val="16"/>
        </w:rPr>
      </w:pPr>
      <w:r>
        <w:rPr>
          <w:b/>
          <w:sz w:val="16"/>
        </w:rPr>
        <w:t>Remuneraciones al personal de</w:t>
      </w:r>
      <w:r>
        <w:rPr>
          <w:b/>
          <w:spacing w:val="-21"/>
          <w:sz w:val="16"/>
        </w:rPr>
        <w:t> </w:t>
      </w:r>
      <w:r>
        <w:rPr>
          <w:b/>
          <w:sz w:val="16"/>
        </w:rPr>
        <w:t>carácter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permanente</w:t>
        <w:tab/>
      </w:r>
      <w:r>
        <w:rPr>
          <w:b/>
          <w:position w:val="2"/>
          <w:sz w:val="16"/>
        </w:rPr>
        <w:t>2,914,257,348</w:t>
      </w:r>
    </w:p>
    <w:p>
      <w:pPr>
        <w:pStyle w:val="BodyText"/>
        <w:tabs>
          <w:tab w:pos="9604" w:val="left" w:leader="none"/>
        </w:tabs>
        <w:spacing w:before="91"/>
        <w:ind w:left="439"/>
      </w:pPr>
      <w:r>
        <w:rPr/>
        <w:t>Sueldos base al</w:t>
      </w:r>
      <w:r>
        <w:rPr>
          <w:spacing w:val="-16"/>
        </w:rPr>
        <w:t> </w:t>
      </w:r>
      <w:r>
        <w:rPr/>
        <w:t>personal</w:t>
      </w:r>
      <w:r>
        <w:rPr>
          <w:spacing w:val="-6"/>
        </w:rPr>
        <w:t> </w:t>
      </w:r>
      <w:r>
        <w:rPr/>
        <w:t>permanente</w:t>
        <w:tab/>
      </w:r>
      <w:r>
        <w:rPr>
          <w:position w:val="1"/>
        </w:rPr>
        <w:t>2,914,257,348</w:t>
      </w:r>
    </w:p>
    <w:p>
      <w:pPr>
        <w:pStyle w:val="Heading1"/>
        <w:tabs>
          <w:tab w:pos="9824" w:val="left" w:leader="none"/>
        </w:tabs>
      </w:pPr>
      <w:r>
        <w:rPr/>
        <w:t>Remuneraciones al personal de</w:t>
      </w:r>
      <w:r>
        <w:rPr>
          <w:spacing w:val="-21"/>
        </w:rPr>
        <w:t> </w:t>
      </w:r>
      <w:r>
        <w:rPr/>
        <w:t>carácter</w:t>
      </w:r>
      <w:r>
        <w:rPr>
          <w:spacing w:val="-6"/>
        </w:rPr>
        <w:t> </w:t>
      </w:r>
      <w:r>
        <w:rPr/>
        <w:t>transitorio</w:t>
        <w:tab/>
      </w:r>
      <w:r>
        <w:rPr>
          <w:position w:val="2"/>
        </w:rPr>
        <w:t>32,306,027</w:t>
      </w:r>
    </w:p>
    <w:p>
      <w:pPr>
        <w:pStyle w:val="BodyText"/>
        <w:tabs>
          <w:tab w:pos="9826" w:val="left" w:leader="none"/>
        </w:tabs>
        <w:spacing w:before="92"/>
      </w:pPr>
      <w:r>
        <w:rPr/>
        <w:t>Sueldos base al</w:t>
      </w:r>
      <w:r>
        <w:rPr>
          <w:spacing w:val="-15"/>
        </w:rPr>
        <w:t> </w:t>
      </w:r>
      <w:r>
        <w:rPr/>
        <w:t>personal</w:t>
      </w:r>
      <w:r>
        <w:rPr>
          <w:spacing w:val="-5"/>
        </w:rPr>
        <w:t> </w:t>
      </w:r>
      <w:r>
        <w:rPr/>
        <w:t>eventual</w:t>
        <w:tab/>
      </w:r>
      <w:r>
        <w:rPr>
          <w:position w:val="1"/>
        </w:rPr>
        <w:t>32,306,027</w:t>
      </w:r>
    </w:p>
    <w:p>
      <w:pPr>
        <w:pStyle w:val="Heading1"/>
        <w:tabs>
          <w:tab w:pos="9601" w:val="left" w:leader="none"/>
        </w:tabs>
      </w:pPr>
      <w:r>
        <w:rPr/>
        <w:t>Remuneraciones adicionales</w:t>
      </w:r>
      <w:r>
        <w:rPr>
          <w:spacing w:val="-17"/>
        </w:rPr>
        <w:t> </w:t>
      </w:r>
      <w:r>
        <w:rPr/>
        <w:t>y</w:t>
      </w:r>
      <w:r>
        <w:rPr>
          <w:spacing w:val="-9"/>
        </w:rPr>
        <w:t> </w:t>
      </w:r>
      <w:r>
        <w:rPr/>
        <w:t>especiales</w:t>
        <w:tab/>
      </w:r>
      <w:r>
        <w:rPr>
          <w:position w:val="2"/>
        </w:rPr>
        <w:t>2,142,734,373</w:t>
      </w:r>
    </w:p>
    <w:p>
      <w:pPr>
        <w:pStyle w:val="BodyText"/>
        <w:tabs>
          <w:tab w:pos="9826" w:val="left" w:leader="none"/>
        </w:tabs>
        <w:spacing w:before="92"/>
      </w:pPr>
      <w:r>
        <w:rPr/>
        <w:t>Primas por años de servicios</w:t>
      </w:r>
      <w:r>
        <w:rPr>
          <w:spacing w:val="-24"/>
        </w:rPr>
        <w:t> </w:t>
      </w:r>
      <w:r>
        <w:rPr/>
        <w:t>efectivos</w:t>
      </w:r>
      <w:r>
        <w:rPr>
          <w:spacing w:val="-5"/>
        </w:rPr>
        <w:t> </w:t>
      </w:r>
      <w:r>
        <w:rPr/>
        <w:t>prestados</w:t>
        <w:tab/>
      </w:r>
      <w:r>
        <w:rPr>
          <w:position w:val="1"/>
        </w:rPr>
        <w:t>29,346,648</w:t>
      </w:r>
    </w:p>
    <w:p>
      <w:pPr>
        <w:pStyle w:val="BodyText"/>
        <w:tabs>
          <w:tab w:pos="9737" w:val="left" w:leader="none"/>
        </w:tabs>
      </w:pPr>
      <w:r>
        <w:rPr/>
        <w:t>Primas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vacaciones,</w:t>
      </w:r>
      <w:r>
        <w:rPr>
          <w:spacing w:val="-5"/>
        </w:rPr>
        <w:t> </w:t>
      </w:r>
      <w:r>
        <w:rPr/>
        <w:t>dominical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gratificación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fin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año</w:t>
        <w:tab/>
      </w:r>
      <w:r>
        <w:rPr>
          <w:position w:val="1"/>
        </w:rPr>
        <w:t>640,961,823</w:t>
      </w:r>
    </w:p>
    <w:p>
      <w:pPr>
        <w:pStyle w:val="BodyText"/>
        <w:tabs>
          <w:tab w:pos="9604" w:val="left" w:leader="none"/>
        </w:tabs>
        <w:ind w:left="439"/>
      </w:pPr>
      <w:r>
        <w:rPr/>
        <w:t>Compensaciones</w:t>
        <w:tab/>
      </w:r>
      <w:r>
        <w:rPr>
          <w:position w:val="1"/>
        </w:rPr>
        <w:t>1,472,425,902</w:t>
      </w:r>
    </w:p>
    <w:p>
      <w:pPr>
        <w:pStyle w:val="Heading1"/>
        <w:tabs>
          <w:tab w:pos="9735" w:val="left" w:leader="none"/>
        </w:tabs>
        <w:spacing w:before="110"/>
      </w:pPr>
      <w:r>
        <w:rPr/>
        <w:t>Seguridad</w:t>
      </w:r>
      <w:r>
        <w:rPr>
          <w:spacing w:val="-4"/>
        </w:rPr>
        <w:t> </w:t>
      </w:r>
      <w:r>
        <w:rPr/>
        <w:t>social</w:t>
        <w:tab/>
      </w:r>
      <w:r>
        <w:rPr>
          <w:position w:val="2"/>
        </w:rPr>
        <w:t>534,638,640</w:t>
      </w:r>
    </w:p>
    <w:p>
      <w:pPr>
        <w:pStyle w:val="BodyText"/>
        <w:tabs>
          <w:tab w:pos="9737" w:val="left" w:leader="none"/>
        </w:tabs>
        <w:spacing w:before="90"/>
      </w:pPr>
      <w:r>
        <w:rPr/>
        <w:t>Aportaciones de</w:t>
      </w:r>
      <w:r>
        <w:rPr>
          <w:spacing w:val="-9"/>
        </w:rPr>
        <w:t> </w:t>
      </w:r>
      <w:r>
        <w:rPr/>
        <w:t>seguridad</w:t>
      </w:r>
      <w:r>
        <w:rPr>
          <w:spacing w:val="-5"/>
        </w:rPr>
        <w:t> </w:t>
      </w:r>
      <w:r>
        <w:rPr/>
        <w:t>social</w:t>
        <w:tab/>
      </w:r>
      <w:r>
        <w:rPr>
          <w:position w:val="1"/>
        </w:rPr>
        <w:t>214,680,672</w:t>
      </w:r>
    </w:p>
    <w:p>
      <w:pPr>
        <w:pStyle w:val="BodyText"/>
        <w:tabs>
          <w:tab w:pos="9737" w:val="left" w:leader="none"/>
        </w:tabs>
        <w:spacing w:before="121"/>
      </w:pPr>
      <w:r>
        <w:rPr/>
        <w:t>Aportaciones a fondos</w:t>
      </w:r>
      <w:r>
        <w:rPr>
          <w:spacing w:val="-11"/>
        </w:rPr>
        <w:t> </w:t>
      </w:r>
      <w:r>
        <w:rPr/>
        <w:t>de</w:t>
      </w:r>
      <w:r>
        <w:rPr>
          <w:spacing w:val="-4"/>
        </w:rPr>
        <w:t> </w:t>
      </w:r>
      <w:r>
        <w:rPr/>
        <w:t>vivienda</w:t>
        <w:tab/>
      </w:r>
      <w:r>
        <w:rPr>
          <w:position w:val="1"/>
        </w:rPr>
        <w:t>107,451,732</w:t>
      </w:r>
    </w:p>
    <w:p>
      <w:pPr>
        <w:pStyle w:val="BodyText"/>
        <w:tabs>
          <w:tab w:pos="9737" w:val="left" w:leader="none"/>
        </w:tabs>
      </w:pPr>
      <w:r>
        <w:rPr/>
        <w:t>Aportaciones al sistema para</w:t>
      </w:r>
      <w:r>
        <w:rPr>
          <w:spacing w:val="-16"/>
        </w:rPr>
        <w:t> </w:t>
      </w:r>
      <w:r>
        <w:rPr/>
        <w:t>el</w:t>
      </w:r>
      <w:r>
        <w:rPr>
          <w:spacing w:val="-4"/>
        </w:rPr>
        <w:t> </w:t>
      </w:r>
      <w:r>
        <w:rPr/>
        <w:t>retiro</w:t>
        <w:tab/>
      </w:r>
      <w:r>
        <w:rPr>
          <w:position w:val="1"/>
        </w:rPr>
        <w:t>170,961,684</w:t>
      </w:r>
    </w:p>
    <w:p>
      <w:pPr>
        <w:pStyle w:val="BodyText"/>
        <w:tabs>
          <w:tab w:pos="9826" w:val="left" w:leader="none"/>
        </w:tabs>
        <w:spacing w:before="119"/>
      </w:pPr>
      <w:r>
        <w:rPr/>
        <w:t>Aportaciones</w:t>
      </w:r>
      <w:r>
        <w:rPr>
          <w:spacing w:val="-6"/>
        </w:rPr>
        <w:t> </w:t>
      </w:r>
      <w:r>
        <w:rPr/>
        <w:t>para</w:t>
      </w:r>
      <w:r>
        <w:rPr>
          <w:spacing w:val="-6"/>
        </w:rPr>
        <w:t> </w:t>
      </w:r>
      <w:r>
        <w:rPr/>
        <w:t>seguros</w:t>
        <w:tab/>
      </w:r>
      <w:r>
        <w:rPr>
          <w:position w:val="1"/>
        </w:rPr>
        <w:t>41,544,552</w:t>
      </w:r>
    </w:p>
    <w:p>
      <w:pPr>
        <w:pStyle w:val="Heading1"/>
        <w:tabs>
          <w:tab w:pos="9735" w:val="left" w:leader="none"/>
        </w:tabs>
        <w:spacing w:before="111"/>
      </w:pPr>
      <w:r>
        <w:rPr/>
        <w:t>Otras prestaciones sociales</w:t>
      </w:r>
      <w:r>
        <w:rPr>
          <w:spacing w:val="-15"/>
        </w:rPr>
        <w:t> </w:t>
      </w:r>
      <w:r>
        <w:rPr/>
        <w:t>y</w:t>
      </w:r>
      <w:r>
        <w:rPr>
          <w:spacing w:val="-5"/>
        </w:rPr>
        <w:t> </w:t>
      </w:r>
      <w:r>
        <w:rPr/>
        <w:t>económicas</w:t>
        <w:tab/>
      </w:r>
      <w:r>
        <w:rPr>
          <w:position w:val="2"/>
        </w:rPr>
        <w:t>751,169,877</w:t>
      </w:r>
    </w:p>
    <w:p>
      <w:pPr>
        <w:pStyle w:val="BodyText"/>
        <w:tabs>
          <w:tab w:pos="9826" w:val="left" w:leader="none"/>
        </w:tabs>
        <w:spacing w:before="91"/>
      </w:pPr>
      <w:r>
        <w:rPr/>
        <w:t>Indemnizaciones</w:t>
        <w:tab/>
      </w:r>
      <w:r>
        <w:rPr>
          <w:position w:val="1"/>
        </w:rPr>
        <w:t>36,894,483</w:t>
      </w:r>
    </w:p>
    <w:p>
      <w:pPr>
        <w:pStyle w:val="BodyText"/>
        <w:tabs>
          <w:tab w:pos="9737" w:val="left" w:leader="none"/>
        </w:tabs>
      </w:pPr>
      <w:r>
        <w:rPr/>
        <w:t>Prestaciones</w:t>
      </w:r>
      <w:r>
        <w:rPr>
          <w:spacing w:val="-3"/>
        </w:rPr>
        <w:t> </w:t>
      </w:r>
      <w:r>
        <w:rPr/>
        <w:t>contractuales</w:t>
        <w:tab/>
      </w:r>
      <w:r>
        <w:rPr>
          <w:position w:val="1"/>
        </w:rPr>
        <w:t>354,832,770</w:t>
      </w:r>
    </w:p>
    <w:p>
      <w:pPr>
        <w:pStyle w:val="BodyText"/>
        <w:tabs>
          <w:tab w:pos="9737" w:val="left" w:leader="none"/>
        </w:tabs>
      </w:pPr>
      <w:r>
        <w:rPr/>
        <w:t>Otras prestaciones sociales</w:t>
      </w:r>
      <w:r>
        <w:rPr>
          <w:spacing w:val="-16"/>
        </w:rPr>
        <w:t> </w:t>
      </w:r>
      <w:r>
        <w:rPr/>
        <w:t>y</w:t>
      </w:r>
      <w:r>
        <w:rPr>
          <w:spacing w:val="-6"/>
        </w:rPr>
        <w:t> </w:t>
      </w:r>
      <w:r>
        <w:rPr/>
        <w:t>económicas</w:t>
        <w:tab/>
      </w:r>
      <w:r>
        <w:rPr>
          <w:position w:val="1"/>
        </w:rPr>
        <w:t>359,442,624</w:t>
      </w:r>
    </w:p>
    <w:p>
      <w:pPr>
        <w:pStyle w:val="Heading1"/>
        <w:tabs>
          <w:tab w:pos="9735" w:val="left" w:leader="none"/>
        </w:tabs>
      </w:pPr>
      <w:r>
        <w:rPr/>
        <w:t>Previsiones</w:t>
        <w:tab/>
      </w:r>
      <w:r>
        <w:rPr>
          <w:position w:val="2"/>
        </w:rPr>
        <w:t>302,286,729</w:t>
      </w:r>
    </w:p>
    <w:p>
      <w:pPr>
        <w:pStyle w:val="BodyText"/>
        <w:tabs>
          <w:tab w:pos="9737" w:val="left" w:leader="none"/>
        </w:tabs>
        <w:spacing w:before="92"/>
      </w:pPr>
      <w:r>
        <w:rPr/>
        <w:t>Previsiones de carácter laboral, económica y de</w:t>
      </w:r>
      <w:r>
        <w:rPr>
          <w:spacing w:val="-26"/>
        </w:rPr>
        <w:t> </w:t>
      </w:r>
      <w:r>
        <w:rPr/>
        <w:t>seguridad</w:t>
      </w:r>
      <w:r>
        <w:rPr>
          <w:spacing w:val="-4"/>
        </w:rPr>
        <w:t> </w:t>
      </w:r>
      <w:r>
        <w:rPr/>
        <w:t>social</w:t>
        <w:tab/>
      </w:r>
      <w:r>
        <w:rPr>
          <w:position w:val="1"/>
        </w:rPr>
        <w:t>302,286,729</w:t>
      </w:r>
    </w:p>
    <w:p>
      <w:pPr>
        <w:pStyle w:val="Heading1"/>
        <w:tabs>
          <w:tab w:pos="9735" w:val="left" w:leader="none"/>
        </w:tabs>
        <w:spacing w:before="110"/>
      </w:pPr>
      <w:r>
        <w:rPr/>
        <w:t>Pago de estímulos a</w:t>
      </w:r>
      <w:r>
        <w:rPr>
          <w:spacing w:val="-18"/>
        </w:rPr>
        <w:t> </w:t>
      </w:r>
      <w:r>
        <w:rPr/>
        <w:t>servidores</w:t>
      </w:r>
      <w:r>
        <w:rPr>
          <w:spacing w:val="-5"/>
        </w:rPr>
        <w:t> </w:t>
      </w:r>
      <w:r>
        <w:rPr/>
        <w:t>públicos</w:t>
        <w:tab/>
      </w:r>
      <w:r>
        <w:rPr>
          <w:position w:val="2"/>
        </w:rPr>
        <w:t>358,919,395</w:t>
      </w:r>
    </w:p>
    <w:p>
      <w:pPr>
        <w:pStyle w:val="BodyText"/>
        <w:tabs>
          <w:tab w:pos="9737" w:val="left" w:leader="none"/>
        </w:tabs>
        <w:spacing w:before="91"/>
      </w:pPr>
      <w:r>
        <w:rPr/>
        <w:t>Estímulos</w:t>
        <w:tab/>
      </w:r>
      <w:r>
        <w:rPr>
          <w:position w:val="1"/>
        </w:rPr>
        <w:t>358,919,395</w:t>
      </w:r>
    </w:p>
    <w:p>
      <w:pPr>
        <w:pStyle w:val="Heading1"/>
        <w:tabs>
          <w:tab w:pos="9905" w:val="left" w:leader="none"/>
        </w:tabs>
        <w:spacing w:before="115"/>
        <w:ind w:left="157"/>
        <w:jc w:val="left"/>
      </w:pPr>
      <w:r>
        <w:rPr/>
        <w:t>Materiales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suministros</w:t>
        <w:tab/>
        <w:t>257,409,118</w:t>
      </w:r>
    </w:p>
    <w:p>
      <w:pPr>
        <w:spacing w:after="0"/>
        <w:jc w:val="left"/>
        <w:sectPr>
          <w:type w:val="continuous"/>
          <w:pgSz w:w="12240" w:h="15840"/>
          <w:pgMar w:top="2660" w:bottom="280" w:left="740" w:right="540"/>
        </w:sectPr>
      </w:pPr>
    </w:p>
    <w:p>
      <w:pPr>
        <w:spacing w:line="244" w:lineRule="auto" w:before="101"/>
        <w:ind w:left="413" w:right="7" w:firstLine="0"/>
        <w:jc w:val="left"/>
        <w:rPr>
          <w:b/>
          <w:sz w:val="16"/>
        </w:rPr>
      </w:pPr>
      <w:r>
        <w:rPr>
          <w:b/>
          <w:sz w:val="16"/>
        </w:rPr>
        <w:t>Materiales de administración, emisión de documentos y artículos oficiales</w:t>
      </w:r>
    </w:p>
    <w:p>
      <w:pPr>
        <w:spacing w:before="84"/>
        <w:ind w:left="413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69,839,015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top="2660" w:bottom="280" w:left="740" w:right="540"/>
          <w:cols w:num="2" w:equalWidth="0">
            <w:col w:w="5402" w:space="4178"/>
            <w:col w:w="1380"/>
          </w:cols>
        </w:sectPr>
      </w:pPr>
    </w:p>
    <w:p>
      <w:pPr>
        <w:pStyle w:val="BodyText"/>
        <w:tabs>
          <w:tab w:pos="9993" w:val="left" w:leader="none"/>
        </w:tabs>
        <w:spacing w:before="7"/>
        <w:ind w:left="607"/>
        <w:jc w:val="left"/>
      </w:pPr>
      <w:r>
        <w:rPr/>
        <w:t>Materiales, útiles y equipos menores</w:t>
      </w:r>
      <w:r>
        <w:rPr>
          <w:spacing w:val="-31"/>
        </w:rPr>
        <w:t> </w:t>
      </w:r>
      <w:r>
        <w:rPr/>
        <w:t>de</w:t>
      </w:r>
      <w:r>
        <w:rPr>
          <w:spacing w:val="-7"/>
        </w:rPr>
        <w:t> </w:t>
      </w:r>
      <w:r>
        <w:rPr/>
        <w:t>oficina</w:t>
        <w:tab/>
      </w:r>
      <w:r>
        <w:rPr>
          <w:position w:val="1"/>
        </w:rPr>
        <w:t>32,488,100</w:t>
      </w:r>
    </w:p>
    <w:p>
      <w:pPr>
        <w:pStyle w:val="BodyText"/>
        <w:tabs>
          <w:tab w:pos="10215" w:val="left" w:leader="none"/>
        </w:tabs>
        <w:spacing w:before="121"/>
        <w:ind w:left="607"/>
        <w:jc w:val="left"/>
      </w:pPr>
      <w:r>
        <w:rPr/>
        <w:t>Materiales y útiles de impresión</w:t>
      </w:r>
      <w:r>
        <w:rPr>
          <w:spacing w:val="-24"/>
        </w:rPr>
        <w:t> </w:t>
      </w:r>
      <w:r>
        <w:rPr/>
        <w:t>y</w:t>
      </w:r>
      <w:r>
        <w:rPr>
          <w:spacing w:val="-5"/>
        </w:rPr>
        <w:t> </w:t>
      </w:r>
      <w:r>
        <w:rPr/>
        <w:t>reproducción</w:t>
        <w:tab/>
      </w:r>
      <w:r>
        <w:rPr>
          <w:position w:val="1"/>
        </w:rPr>
        <w:t>644,172</w:t>
      </w:r>
    </w:p>
    <w:p>
      <w:pPr>
        <w:spacing w:after="0"/>
        <w:jc w:val="left"/>
        <w:sectPr>
          <w:type w:val="continuous"/>
          <w:pgSz w:w="12240" w:h="15840"/>
          <w:pgMar w:top="2660" w:bottom="280" w:left="740" w:right="540"/>
        </w:sectPr>
      </w:pPr>
    </w:p>
    <w:p>
      <w:pPr>
        <w:pStyle w:val="BodyText"/>
        <w:spacing w:before="130"/>
        <w:ind w:left="607" w:right="8"/>
        <w:jc w:val="left"/>
      </w:pPr>
      <w:r>
        <w:rPr/>
        <w:t>Materiales, útiles y equipos menores de tecnologías de la información y comunicaciones</w:t>
      </w:r>
    </w:p>
    <w:p>
      <w:pPr>
        <w:pStyle w:val="BodyText"/>
        <w:spacing w:before="123"/>
        <w:ind w:left="607"/>
        <w:jc w:val="left"/>
      </w:pPr>
      <w:r>
        <w:rPr/>
        <w:br w:type="column"/>
      </w:r>
      <w:r>
        <w:rPr/>
        <w:t>17,480,655</w:t>
      </w:r>
    </w:p>
    <w:p>
      <w:pPr>
        <w:spacing w:after="0"/>
        <w:jc w:val="left"/>
        <w:sectPr>
          <w:type w:val="continuous"/>
          <w:pgSz w:w="12240" w:h="15840"/>
          <w:pgMar w:top="2660" w:bottom="280" w:left="740" w:right="540"/>
          <w:cols w:num="2" w:equalWidth="0">
            <w:col w:w="5580" w:space="3806"/>
            <w:col w:w="1574"/>
          </w:cols>
        </w:sectPr>
      </w:pPr>
    </w:p>
    <w:p>
      <w:pPr>
        <w:pStyle w:val="BodyText"/>
        <w:tabs>
          <w:tab w:pos="9915" w:val="left" w:leader="none"/>
        </w:tabs>
        <w:spacing w:before="19"/>
      </w:pPr>
      <w:r>
        <w:rPr/>
        <w:t>Material impreso e</w:t>
      </w:r>
      <w:r>
        <w:rPr>
          <w:spacing w:val="-20"/>
        </w:rPr>
        <w:t> </w:t>
      </w:r>
      <w:r>
        <w:rPr/>
        <w:t>información</w:t>
      </w:r>
      <w:r>
        <w:rPr>
          <w:spacing w:val="-7"/>
        </w:rPr>
        <w:t> </w:t>
      </w:r>
      <w:r>
        <w:rPr/>
        <w:t>digital</w:t>
        <w:tab/>
      </w:r>
      <w:r>
        <w:rPr>
          <w:position w:val="1"/>
        </w:rPr>
        <w:t>9,425,348</w:t>
      </w:r>
    </w:p>
    <w:p>
      <w:pPr>
        <w:pStyle w:val="BodyText"/>
        <w:tabs>
          <w:tab w:pos="9915" w:val="left" w:leader="none"/>
        </w:tabs>
        <w:spacing w:before="121"/>
      </w:pPr>
      <w:r>
        <w:rPr/>
        <w:t>Material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limpieza</w:t>
        <w:tab/>
      </w:r>
      <w:r>
        <w:rPr>
          <w:position w:val="1"/>
        </w:rPr>
        <w:t>9,762,550</w:t>
      </w:r>
    </w:p>
    <w:p>
      <w:pPr>
        <w:pStyle w:val="BodyText"/>
        <w:tabs>
          <w:tab w:pos="10137" w:val="left" w:leader="none"/>
        </w:tabs>
      </w:pPr>
      <w:r>
        <w:rPr/>
        <w:t>Materiales y útiles</w:t>
      </w:r>
      <w:r>
        <w:rPr>
          <w:spacing w:val="-17"/>
        </w:rPr>
        <w:t> </w:t>
      </w:r>
      <w:r>
        <w:rPr/>
        <w:t>de</w:t>
      </w:r>
      <w:r>
        <w:rPr>
          <w:spacing w:val="-6"/>
        </w:rPr>
        <w:t> </w:t>
      </w:r>
      <w:r>
        <w:rPr/>
        <w:t>enseñanza</w:t>
        <w:tab/>
      </w:r>
      <w:r>
        <w:rPr>
          <w:position w:val="1"/>
        </w:rPr>
        <w:t>38,190</w:t>
      </w:r>
    </w:p>
    <w:p>
      <w:pPr>
        <w:pStyle w:val="Heading1"/>
        <w:tabs>
          <w:tab w:pos="9735" w:val="left" w:leader="none"/>
        </w:tabs>
      </w:pPr>
      <w:r>
        <w:rPr/>
        <w:t>Alimentos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utensilios</w:t>
        <w:tab/>
      </w:r>
      <w:r>
        <w:rPr>
          <w:position w:val="2"/>
        </w:rPr>
        <w:t>116,975,963</w:t>
      </w:r>
    </w:p>
    <w:p>
      <w:pPr>
        <w:pStyle w:val="BodyText"/>
        <w:tabs>
          <w:tab w:pos="9737" w:val="left" w:leader="none"/>
        </w:tabs>
        <w:spacing w:before="92"/>
      </w:pPr>
      <w:r>
        <w:rPr/>
        <w:t>Productos alimenticios</w:t>
      </w:r>
      <w:r>
        <w:rPr>
          <w:spacing w:val="-13"/>
        </w:rPr>
        <w:t> </w:t>
      </w:r>
      <w:r>
        <w:rPr/>
        <w:t>para</w:t>
      </w:r>
      <w:r>
        <w:rPr>
          <w:spacing w:val="-7"/>
        </w:rPr>
        <w:t> </w:t>
      </w:r>
      <w:r>
        <w:rPr/>
        <w:t>personas</w:t>
        <w:tab/>
      </w:r>
      <w:r>
        <w:rPr>
          <w:position w:val="1"/>
        </w:rPr>
        <w:t>116,367,684</w:t>
      </w:r>
    </w:p>
    <w:p>
      <w:pPr>
        <w:pStyle w:val="BodyText"/>
        <w:tabs>
          <w:tab w:pos="10137" w:val="left" w:leader="none"/>
        </w:tabs>
      </w:pPr>
      <w:r>
        <w:rPr/>
        <w:t>Productos alimenticios</w:t>
      </w:r>
      <w:r>
        <w:rPr>
          <w:spacing w:val="-13"/>
        </w:rPr>
        <w:t> </w:t>
      </w:r>
      <w:r>
        <w:rPr/>
        <w:t>para</w:t>
      </w:r>
      <w:r>
        <w:rPr>
          <w:spacing w:val="-7"/>
        </w:rPr>
        <w:t> </w:t>
      </w:r>
      <w:r>
        <w:rPr/>
        <w:t>animales</w:t>
        <w:tab/>
      </w:r>
      <w:r>
        <w:rPr>
          <w:position w:val="1"/>
        </w:rPr>
        <w:t>76,800</w:t>
      </w:r>
    </w:p>
    <w:p>
      <w:pPr>
        <w:pStyle w:val="BodyText"/>
        <w:tabs>
          <w:tab w:pos="10048" w:val="left" w:leader="none"/>
        </w:tabs>
      </w:pPr>
      <w:r>
        <w:rPr/>
        <w:t>Utensilios para el servicio</w:t>
      </w:r>
      <w:r>
        <w:rPr>
          <w:spacing w:val="-22"/>
        </w:rPr>
        <w:t> </w:t>
      </w:r>
      <w:r>
        <w:rPr/>
        <w:t>de</w:t>
      </w:r>
      <w:r>
        <w:rPr>
          <w:spacing w:val="-6"/>
        </w:rPr>
        <w:t> </w:t>
      </w:r>
      <w:r>
        <w:rPr/>
        <w:t>alimentación</w:t>
        <w:tab/>
      </w:r>
      <w:r>
        <w:rPr>
          <w:position w:val="1"/>
        </w:rPr>
        <w:t>531,479</w:t>
      </w:r>
    </w:p>
    <w:p>
      <w:pPr>
        <w:pStyle w:val="Heading1"/>
        <w:tabs>
          <w:tab w:pos="9912" w:val="left" w:leader="none"/>
        </w:tabs>
        <w:spacing w:before="110"/>
      </w:pPr>
      <w:r>
        <w:rPr/>
        <w:t>Materiales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artículos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construcción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reparación</w:t>
        <w:tab/>
      </w:r>
      <w:r>
        <w:rPr>
          <w:position w:val="2"/>
        </w:rPr>
        <w:t>6,762,673</w:t>
      </w:r>
    </w:p>
    <w:p>
      <w:pPr>
        <w:pStyle w:val="BodyText"/>
        <w:tabs>
          <w:tab w:pos="10226" w:val="left" w:leader="none"/>
        </w:tabs>
        <w:spacing w:before="90"/>
      </w:pPr>
      <w:r>
        <w:rPr/>
        <w:t>Productos minerales</w:t>
      </w:r>
      <w:r>
        <w:rPr>
          <w:spacing w:val="-8"/>
        </w:rPr>
        <w:t> </w:t>
      </w:r>
      <w:r>
        <w:rPr/>
        <w:t>no</w:t>
      </w:r>
      <w:r>
        <w:rPr>
          <w:spacing w:val="-4"/>
        </w:rPr>
        <w:t> </w:t>
      </w:r>
      <w:r>
        <w:rPr/>
        <w:t>metálicos</w:t>
        <w:tab/>
      </w:r>
      <w:r>
        <w:rPr>
          <w:position w:val="1"/>
        </w:rPr>
        <w:t>6,750</w:t>
      </w:r>
    </w:p>
    <w:p>
      <w:pPr>
        <w:pStyle w:val="BodyText"/>
        <w:tabs>
          <w:tab w:pos="10137" w:val="left" w:leader="none"/>
        </w:tabs>
        <w:spacing w:before="121"/>
      </w:pPr>
      <w:r>
        <w:rPr/>
        <w:t>Cemento y productos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/>
        <w:t>concreto</w:t>
        <w:tab/>
      </w:r>
      <w:r>
        <w:rPr>
          <w:position w:val="1"/>
        </w:rPr>
        <w:t>72,000</w:t>
      </w:r>
    </w:p>
    <w:p>
      <w:pPr>
        <w:pStyle w:val="BodyText"/>
        <w:tabs>
          <w:tab w:pos="10048" w:val="left" w:leader="none"/>
        </w:tabs>
      </w:pPr>
      <w:r>
        <w:rPr/>
        <w:t>Cal, yeso y productos</w:t>
      </w:r>
      <w:r>
        <w:rPr>
          <w:spacing w:val="-14"/>
        </w:rPr>
        <w:t> </w:t>
      </w:r>
      <w:r>
        <w:rPr/>
        <w:t>de</w:t>
      </w:r>
      <w:r>
        <w:rPr>
          <w:spacing w:val="-4"/>
        </w:rPr>
        <w:t> </w:t>
      </w:r>
      <w:r>
        <w:rPr/>
        <w:t>yeso</w:t>
        <w:tab/>
      </w:r>
      <w:r>
        <w:rPr>
          <w:position w:val="1"/>
        </w:rPr>
        <w:t>154,571</w:t>
      </w:r>
    </w:p>
    <w:p>
      <w:pPr>
        <w:pStyle w:val="BodyText"/>
        <w:tabs>
          <w:tab w:pos="9915" w:val="left" w:leader="none"/>
        </w:tabs>
        <w:spacing w:before="119"/>
      </w:pPr>
      <w:r>
        <w:rPr/>
        <w:t>Material eléctrico</w:t>
      </w:r>
      <w:r>
        <w:rPr>
          <w:spacing w:val="-14"/>
        </w:rPr>
        <w:t> </w:t>
      </w:r>
      <w:r>
        <w:rPr/>
        <w:t>y</w:t>
      </w:r>
      <w:r>
        <w:rPr>
          <w:spacing w:val="-7"/>
        </w:rPr>
        <w:t> </w:t>
      </w:r>
      <w:r>
        <w:rPr/>
        <w:t>electrónico</w:t>
        <w:tab/>
      </w:r>
      <w:r>
        <w:rPr>
          <w:position w:val="1"/>
        </w:rPr>
        <w:t>4,364,199</w:t>
      </w:r>
    </w:p>
    <w:p>
      <w:pPr>
        <w:spacing w:after="0"/>
        <w:sectPr>
          <w:type w:val="continuous"/>
          <w:pgSz w:w="12240" w:h="15840"/>
          <w:pgMar w:top="2660" w:bottom="280" w:left="740" w:right="540"/>
        </w:sectPr>
      </w:pPr>
    </w:p>
    <w:p>
      <w:pPr>
        <w:pStyle w:val="BodyText"/>
        <w:spacing w:before="10"/>
        <w:ind w:left="0"/>
        <w:jc w:val="left"/>
        <w:rPr>
          <w:rFonts w:ascii="Times New Roman"/>
          <w:sz w:val="2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87"/>
        <w:gridCol w:w="3148"/>
      </w:tblGrid>
      <w:tr>
        <w:trPr>
          <w:trHeight w:val="254" w:hRule="atLeast"/>
        </w:trPr>
        <w:tc>
          <w:tcPr>
            <w:tcW w:w="7587" w:type="dxa"/>
          </w:tcPr>
          <w:p>
            <w:pPr>
              <w:pStyle w:val="TableParagraph"/>
              <w:spacing w:before="10"/>
              <w:ind w:left="500"/>
              <w:rPr>
                <w:sz w:val="16"/>
              </w:rPr>
            </w:pPr>
            <w:r>
              <w:rPr>
                <w:sz w:val="16"/>
              </w:rPr>
              <w:t>Artículos metálicos para la construcción</w:t>
            </w:r>
          </w:p>
        </w:tc>
        <w:tc>
          <w:tcPr>
            <w:tcW w:w="3148" w:type="dxa"/>
          </w:tcPr>
          <w:p>
            <w:pPr>
              <w:pStyle w:val="TableParagraph"/>
              <w:spacing w:line="178" w:lineRule="exact" w:before="0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138,305</w:t>
            </w:r>
          </w:p>
        </w:tc>
      </w:tr>
      <w:tr>
        <w:trPr>
          <w:trHeight w:val="314" w:hRule="atLeast"/>
        </w:trPr>
        <w:tc>
          <w:tcPr>
            <w:tcW w:w="7587" w:type="dxa"/>
          </w:tcPr>
          <w:p>
            <w:pPr>
              <w:pStyle w:val="TableParagraph"/>
              <w:spacing w:before="70"/>
              <w:ind w:left="500"/>
              <w:rPr>
                <w:sz w:val="16"/>
              </w:rPr>
            </w:pPr>
            <w:r>
              <w:rPr>
                <w:sz w:val="16"/>
              </w:rPr>
              <w:t>Materiales complementarios</w:t>
            </w:r>
          </w:p>
        </w:tc>
        <w:tc>
          <w:tcPr>
            <w:tcW w:w="3148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328,181</w:t>
            </w:r>
          </w:p>
        </w:tc>
      </w:tr>
      <w:tr>
        <w:trPr>
          <w:trHeight w:val="308" w:hRule="atLeast"/>
        </w:trPr>
        <w:tc>
          <w:tcPr>
            <w:tcW w:w="7587" w:type="dxa"/>
          </w:tcPr>
          <w:p>
            <w:pPr>
              <w:pStyle w:val="TableParagraph"/>
              <w:spacing w:before="69"/>
              <w:ind w:left="500"/>
              <w:rPr>
                <w:sz w:val="16"/>
              </w:rPr>
            </w:pPr>
            <w:r>
              <w:rPr>
                <w:sz w:val="16"/>
              </w:rPr>
              <w:t>Otros materiales y artículos de construcción y reparación</w:t>
            </w:r>
          </w:p>
        </w:tc>
        <w:tc>
          <w:tcPr>
            <w:tcW w:w="3148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1,698,667</w:t>
            </w:r>
          </w:p>
        </w:tc>
      </w:tr>
      <w:tr>
        <w:trPr>
          <w:trHeight w:val="299" w:hRule="atLeast"/>
        </w:trPr>
        <w:tc>
          <w:tcPr>
            <w:tcW w:w="7587" w:type="dxa"/>
          </w:tcPr>
          <w:p>
            <w:pPr>
              <w:pStyle w:val="TableParagraph"/>
              <w:spacing w:before="64"/>
              <w:ind w:left="305"/>
              <w:rPr>
                <w:b/>
                <w:sz w:val="16"/>
              </w:rPr>
            </w:pPr>
            <w:r>
              <w:rPr>
                <w:b/>
                <w:sz w:val="16"/>
              </w:rPr>
              <w:t>Productos químicos, farmacéuticos y de laboratorio</w:t>
            </w:r>
          </w:p>
        </w:tc>
        <w:tc>
          <w:tcPr>
            <w:tcW w:w="3148" w:type="dxa"/>
          </w:tcPr>
          <w:p>
            <w:pPr>
              <w:pStyle w:val="TableParagraph"/>
              <w:spacing w:before="50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2,914,492</w:t>
            </w:r>
          </w:p>
        </w:tc>
      </w:tr>
      <w:tr>
        <w:trPr>
          <w:trHeight w:val="304" w:hRule="atLeast"/>
        </w:trPr>
        <w:tc>
          <w:tcPr>
            <w:tcW w:w="7587" w:type="dxa"/>
          </w:tcPr>
          <w:p>
            <w:pPr>
              <w:pStyle w:val="TableParagraph"/>
              <w:spacing w:before="60"/>
              <w:ind w:left="500"/>
              <w:rPr>
                <w:sz w:val="16"/>
              </w:rPr>
            </w:pPr>
            <w:r>
              <w:rPr>
                <w:sz w:val="16"/>
              </w:rPr>
              <w:t>Productos químicos básicos</w:t>
            </w:r>
          </w:p>
        </w:tc>
        <w:tc>
          <w:tcPr>
            <w:tcW w:w="3148" w:type="dxa"/>
          </w:tcPr>
          <w:p>
            <w:pPr>
              <w:pStyle w:val="TableParagraph"/>
              <w:spacing w:before="45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69,420</w:t>
            </w:r>
          </w:p>
        </w:tc>
      </w:tr>
      <w:tr>
        <w:trPr>
          <w:trHeight w:val="313" w:hRule="atLeast"/>
        </w:trPr>
        <w:tc>
          <w:tcPr>
            <w:tcW w:w="7587" w:type="dxa"/>
          </w:tcPr>
          <w:p>
            <w:pPr>
              <w:pStyle w:val="TableParagraph"/>
              <w:spacing w:before="69"/>
              <w:ind w:left="500"/>
              <w:rPr>
                <w:sz w:val="16"/>
              </w:rPr>
            </w:pPr>
            <w:r>
              <w:rPr>
                <w:sz w:val="16"/>
              </w:rPr>
              <w:t>Fertilizantes, pesticidas y otros agroquímicos</w:t>
            </w:r>
          </w:p>
        </w:tc>
        <w:tc>
          <w:tcPr>
            <w:tcW w:w="3148" w:type="dxa"/>
          </w:tcPr>
          <w:p>
            <w:pPr>
              <w:pStyle w:val="TableParagraph"/>
              <w:spacing w:before="55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8,250</w:t>
            </w:r>
          </w:p>
        </w:tc>
      </w:tr>
      <w:tr>
        <w:trPr>
          <w:trHeight w:val="314" w:hRule="atLeast"/>
        </w:trPr>
        <w:tc>
          <w:tcPr>
            <w:tcW w:w="7587" w:type="dxa"/>
          </w:tcPr>
          <w:p>
            <w:pPr>
              <w:pStyle w:val="TableParagraph"/>
              <w:spacing w:before="70"/>
              <w:ind w:left="500"/>
              <w:rPr>
                <w:sz w:val="16"/>
              </w:rPr>
            </w:pPr>
            <w:r>
              <w:rPr>
                <w:sz w:val="16"/>
              </w:rPr>
              <w:t>Medicinas y productos farmacéuticos</w:t>
            </w:r>
          </w:p>
        </w:tc>
        <w:tc>
          <w:tcPr>
            <w:tcW w:w="3148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2,304,547</w:t>
            </w:r>
          </w:p>
        </w:tc>
      </w:tr>
      <w:tr>
        <w:trPr>
          <w:trHeight w:val="313" w:hRule="atLeast"/>
        </w:trPr>
        <w:tc>
          <w:tcPr>
            <w:tcW w:w="7587" w:type="dxa"/>
          </w:tcPr>
          <w:p>
            <w:pPr>
              <w:pStyle w:val="TableParagraph"/>
              <w:spacing w:before="69"/>
              <w:ind w:left="500"/>
              <w:rPr>
                <w:sz w:val="16"/>
              </w:rPr>
            </w:pPr>
            <w:r>
              <w:rPr>
                <w:sz w:val="16"/>
              </w:rPr>
              <w:t>Materiales, accesorios y suministros médicos</w:t>
            </w:r>
          </w:p>
        </w:tc>
        <w:tc>
          <w:tcPr>
            <w:tcW w:w="3148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42,733</w:t>
            </w:r>
          </w:p>
        </w:tc>
      </w:tr>
      <w:tr>
        <w:trPr>
          <w:trHeight w:val="313" w:hRule="atLeast"/>
        </w:trPr>
        <w:tc>
          <w:tcPr>
            <w:tcW w:w="7587" w:type="dxa"/>
          </w:tcPr>
          <w:p>
            <w:pPr>
              <w:pStyle w:val="TableParagraph"/>
              <w:spacing w:before="69"/>
              <w:ind w:left="500"/>
              <w:rPr>
                <w:sz w:val="16"/>
              </w:rPr>
            </w:pPr>
            <w:r>
              <w:rPr>
                <w:sz w:val="16"/>
              </w:rPr>
              <w:t>Materiales, accesorios y suministros de laboratorio</w:t>
            </w:r>
          </w:p>
        </w:tc>
        <w:tc>
          <w:tcPr>
            <w:tcW w:w="3148" w:type="dxa"/>
          </w:tcPr>
          <w:p>
            <w:pPr>
              <w:pStyle w:val="TableParagraph"/>
              <w:spacing w:before="55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83,126</w:t>
            </w:r>
          </w:p>
        </w:tc>
      </w:tr>
      <w:tr>
        <w:trPr>
          <w:trHeight w:val="309" w:hRule="atLeast"/>
        </w:trPr>
        <w:tc>
          <w:tcPr>
            <w:tcW w:w="7587" w:type="dxa"/>
          </w:tcPr>
          <w:p>
            <w:pPr>
              <w:pStyle w:val="TableParagraph"/>
              <w:spacing w:before="70"/>
              <w:ind w:left="500"/>
              <w:rPr>
                <w:sz w:val="16"/>
              </w:rPr>
            </w:pPr>
            <w:r>
              <w:rPr>
                <w:sz w:val="16"/>
              </w:rPr>
              <w:t>Fibras sintéticas, hules, plásticos y derivados</w:t>
            </w:r>
          </w:p>
        </w:tc>
        <w:tc>
          <w:tcPr>
            <w:tcW w:w="3148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406,416</w:t>
            </w:r>
          </w:p>
        </w:tc>
      </w:tr>
      <w:tr>
        <w:trPr>
          <w:trHeight w:val="299" w:hRule="atLeast"/>
        </w:trPr>
        <w:tc>
          <w:tcPr>
            <w:tcW w:w="7587" w:type="dxa"/>
          </w:tcPr>
          <w:p>
            <w:pPr>
              <w:pStyle w:val="TableParagraph"/>
              <w:spacing w:before="65"/>
              <w:ind w:left="305"/>
              <w:rPr>
                <w:b/>
                <w:sz w:val="16"/>
              </w:rPr>
            </w:pPr>
            <w:r>
              <w:rPr>
                <w:b/>
                <w:sz w:val="16"/>
              </w:rPr>
              <w:t>Combustibles, lubricantes y aditivos</w:t>
            </w:r>
          </w:p>
        </w:tc>
        <w:tc>
          <w:tcPr>
            <w:tcW w:w="3148" w:type="dxa"/>
          </w:tcPr>
          <w:p>
            <w:pPr>
              <w:pStyle w:val="TableParagraph"/>
              <w:spacing w:before="49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50,653,235</w:t>
            </w:r>
          </w:p>
        </w:tc>
      </w:tr>
      <w:tr>
        <w:trPr>
          <w:trHeight w:val="300" w:hRule="atLeast"/>
        </w:trPr>
        <w:tc>
          <w:tcPr>
            <w:tcW w:w="7587" w:type="dxa"/>
          </w:tcPr>
          <w:p>
            <w:pPr>
              <w:pStyle w:val="TableParagraph"/>
              <w:spacing w:before="60"/>
              <w:ind w:left="500"/>
              <w:rPr>
                <w:sz w:val="16"/>
              </w:rPr>
            </w:pPr>
            <w:r>
              <w:rPr>
                <w:sz w:val="16"/>
              </w:rPr>
              <w:t>Combustibles, lubricantes y aditivos</w:t>
            </w:r>
          </w:p>
        </w:tc>
        <w:tc>
          <w:tcPr>
            <w:tcW w:w="3148" w:type="dxa"/>
          </w:tcPr>
          <w:p>
            <w:pPr>
              <w:pStyle w:val="TableParagraph"/>
              <w:spacing w:before="45"/>
              <w:ind w:right="4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50,653,235</w:t>
            </w:r>
          </w:p>
        </w:tc>
      </w:tr>
      <w:tr>
        <w:trPr>
          <w:trHeight w:val="299" w:hRule="atLeast"/>
        </w:trPr>
        <w:tc>
          <w:tcPr>
            <w:tcW w:w="7587" w:type="dxa"/>
          </w:tcPr>
          <w:p>
            <w:pPr>
              <w:pStyle w:val="TableParagraph"/>
              <w:spacing w:before="64"/>
              <w:ind w:right="23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Vestuario, blancos, prendas de protección y artículos deportivos</w:t>
            </w:r>
          </w:p>
        </w:tc>
        <w:tc>
          <w:tcPr>
            <w:tcW w:w="3148" w:type="dxa"/>
          </w:tcPr>
          <w:p>
            <w:pPr>
              <w:pStyle w:val="TableParagraph"/>
              <w:spacing w:before="50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1,572,332</w:t>
            </w:r>
          </w:p>
        </w:tc>
      </w:tr>
      <w:tr>
        <w:trPr>
          <w:trHeight w:val="304" w:hRule="atLeast"/>
        </w:trPr>
        <w:tc>
          <w:tcPr>
            <w:tcW w:w="7587" w:type="dxa"/>
          </w:tcPr>
          <w:p>
            <w:pPr>
              <w:pStyle w:val="TableParagraph"/>
              <w:spacing w:before="60"/>
              <w:ind w:left="500"/>
              <w:rPr>
                <w:sz w:val="16"/>
              </w:rPr>
            </w:pPr>
            <w:r>
              <w:rPr>
                <w:sz w:val="16"/>
              </w:rPr>
              <w:t>Vestuario y uniformes</w:t>
            </w:r>
          </w:p>
        </w:tc>
        <w:tc>
          <w:tcPr>
            <w:tcW w:w="3148" w:type="dxa"/>
          </w:tcPr>
          <w:p>
            <w:pPr>
              <w:pStyle w:val="TableParagraph"/>
              <w:spacing w:before="45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345,353</w:t>
            </w:r>
          </w:p>
        </w:tc>
      </w:tr>
      <w:tr>
        <w:trPr>
          <w:trHeight w:val="314" w:hRule="atLeast"/>
        </w:trPr>
        <w:tc>
          <w:tcPr>
            <w:tcW w:w="7587" w:type="dxa"/>
          </w:tcPr>
          <w:p>
            <w:pPr>
              <w:pStyle w:val="TableParagraph"/>
              <w:spacing w:before="70"/>
              <w:ind w:left="500"/>
              <w:rPr>
                <w:sz w:val="16"/>
              </w:rPr>
            </w:pPr>
            <w:r>
              <w:rPr>
                <w:sz w:val="16"/>
              </w:rPr>
              <w:t>Prendas de seguridad y protección personal</w:t>
            </w:r>
          </w:p>
        </w:tc>
        <w:tc>
          <w:tcPr>
            <w:tcW w:w="3148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1,225,979</w:t>
            </w:r>
          </w:p>
        </w:tc>
      </w:tr>
      <w:tr>
        <w:trPr>
          <w:trHeight w:val="308" w:hRule="atLeast"/>
        </w:trPr>
        <w:tc>
          <w:tcPr>
            <w:tcW w:w="7587" w:type="dxa"/>
          </w:tcPr>
          <w:p>
            <w:pPr>
              <w:pStyle w:val="TableParagraph"/>
              <w:spacing w:before="69"/>
              <w:ind w:left="500"/>
              <w:rPr>
                <w:sz w:val="16"/>
              </w:rPr>
            </w:pPr>
            <w:r>
              <w:rPr>
                <w:sz w:val="16"/>
              </w:rPr>
              <w:t>Blancos y otros productos textiles, excepto prendas de vestir</w:t>
            </w:r>
          </w:p>
        </w:tc>
        <w:tc>
          <w:tcPr>
            <w:tcW w:w="3148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1,000</w:t>
            </w:r>
          </w:p>
        </w:tc>
      </w:tr>
      <w:tr>
        <w:trPr>
          <w:trHeight w:val="300" w:hRule="atLeast"/>
        </w:trPr>
        <w:tc>
          <w:tcPr>
            <w:tcW w:w="7587" w:type="dxa"/>
          </w:tcPr>
          <w:p>
            <w:pPr>
              <w:pStyle w:val="TableParagraph"/>
              <w:spacing w:before="65"/>
              <w:ind w:left="305"/>
              <w:rPr>
                <w:b/>
                <w:sz w:val="16"/>
              </w:rPr>
            </w:pPr>
            <w:r>
              <w:rPr>
                <w:b/>
                <w:sz w:val="16"/>
              </w:rPr>
              <w:t>Materiales y suministros para seguridad</w:t>
            </w:r>
          </w:p>
        </w:tc>
        <w:tc>
          <w:tcPr>
            <w:tcW w:w="3148" w:type="dxa"/>
          </w:tcPr>
          <w:p>
            <w:pPr>
              <w:pStyle w:val="TableParagraph"/>
              <w:spacing w:before="50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446,400</w:t>
            </w:r>
          </w:p>
        </w:tc>
      </w:tr>
      <w:tr>
        <w:trPr>
          <w:trHeight w:val="299" w:hRule="atLeast"/>
        </w:trPr>
        <w:tc>
          <w:tcPr>
            <w:tcW w:w="7587" w:type="dxa"/>
          </w:tcPr>
          <w:p>
            <w:pPr>
              <w:pStyle w:val="TableParagraph"/>
              <w:spacing w:before="60"/>
              <w:ind w:left="500"/>
              <w:rPr>
                <w:sz w:val="16"/>
              </w:rPr>
            </w:pPr>
            <w:r>
              <w:rPr>
                <w:sz w:val="16"/>
              </w:rPr>
              <w:t>Materiales de Seguridad Pública</w:t>
            </w:r>
          </w:p>
        </w:tc>
        <w:tc>
          <w:tcPr>
            <w:tcW w:w="3148" w:type="dxa"/>
          </w:tcPr>
          <w:p>
            <w:pPr>
              <w:pStyle w:val="TableParagraph"/>
              <w:spacing w:before="45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446,400</w:t>
            </w:r>
          </w:p>
        </w:tc>
      </w:tr>
      <w:tr>
        <w:trPr>
          <w:trHeight w:val="299" w:hRule="atLeast"/>
        </w:trPr>
        <w:tc>
          <w:tcPr>
            <w:tcW w:w="7587" w:type="dxa"/>
          </w:tcPr>
          <w:p>
            <w:pPr>
              <w:pStyle w:val="TableParagraph"/>
              <w:spacing w:before="65"/>
              <w:ind w:left="305"/>
              <w:rPr>
                <w:b/>
                <w:sz w:val="16"/>
              </w:rPr>
            </w:pPr>
            <w:r>
              <w:rPr>
                <w:b/>
                <w:sz w:val="16"/>
              </w:rPr>
              <w:t>Herramientas, refacciones y accesorios menores</w:t>
            </w:r>
          </w:p>
        </w:tc>
        <w:tc>
          <w:tcPr>
            <w:tcW w:w="3148" w:type="dxa"/>
          </w:tcPr>
          <w:p>
            <w:pPr>
              <w:pStyle w:val="TableParagraph"/>
              <w:spacing w:before="49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8,245,008</w:t>
            </w:r>
          </w:p>
        </w:tc>
      </w:tr>
      <w:tr>
        <w:trPr>
          <w:trHeight w:val="304" w:hRule="atLeast"/>
        </w:trPr>
        <w:tc>
          <w:tcPr>
            <w:tcW w:w="7587" w:type="dxa"/>
          </w:tcPr>
          <w:p>
            <w:pPr>
              <w:pStyle w:val="TableParagraph"/>
              <w:spacing w:before="60"/>
              <w:ind w:left="500"/>
              <w:rPr>
                <w:sz w:val="16"/>
              </w:rPr>
            </w:pPr>
            <w:r>
              <w:rPr>
                <w:sz w:val="16"/>
              </w:rPr>
              <w:t>Herramientas menores</w:t>
            </w:r>
          </w:p>
        </w:tc>
        <w:tc>
          <w:tcPr>
            <w:tcW w:w="3148" w:type="dxa"/>
          </w:tcPr>
          <w:p>
            <w:pPr>
              <w:pStyle w:val="TableParagraph"/>
              <w:spacing w:before="45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1,603,666</w:t>
            </w:r>
          </w:p>
        </w:tc>
      </w:tr>
      <w:tr>
        <w:trPr>
          <w:trHeight w:val="313" w:hRule="atLeast"/>
        </w:trPr>
        <w:tc>
          <w:tcPr>
            <w:tcW w:w="7587" w:type="dxa"/>
          </w:tcPr>
          <w:p>
            <w:pPr>
              <w:pStyle w:val="TableParagraph"/>
              <w:spacing w:before="69"/>
              <w:ind w:left="500"/>
              <w:rPr>
                <w:sz w:val="16"/>
              </w:rPr>
            </w:pPr>
            <w:r>
              <w:rPr>
                <w:sz w:val="16"/>
              </w:rPr>
              <w:t>Refacciones y accesorios menores de edificios</w:t>
            </w:r>
          </w:p>
        </w:tc>
        <w:tc>
          <w:tcPr>
            <w:tcW w:w="3148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257,649</w:t>
            </w:r>
          </w:p>
        </w:tc>
      </w:tr>
      <w:tr>
        <w:trPr>
          <w:trHeight w:val="447" w:hRule="atLeast"/>
        </w:trPr>
        <w:tc>
          <w:tcPr>
            <w:tcW w:w="7587" w:type="dxa"/>
          </w:tcPr>
          <w:p>
            <w:pPr>
              <w:pStyle w:val="TableParagraph"/>
              <w:spacing w:line="184" w:lineRule="exact" w:before="72"/>
              <w:ind w:left="500" w:right="2175"/>
              <w:rPr>
                <w:sz w:val="16"/>
              </w:rPr>
            </w:pPr>
            <w:r>
              <w:rPr>
                <w:sz w:val="16"/>
              </w:rPr>
              <w:t>Refacciones y accesorios menores de equipo de cómputo y tecnologías de la información</w:t>
            </w:r>
          </w:p>
        </w:tc>
        <w:tc>
          <w:tcPr>
            <w:tcW w:w="3148" w:type="dxa"/>
          </w:tcPr>
          <w:p>
            <w:pPr>
              <w:pStyle w:val="TableParagraph"/>
              <w:spacing w:before="55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4,565,550</w:t>
            </w:r>
          </w:p>
        </w:tc>
      </w:tr>
      <w:tr>
        <w:trPr>
          <w:trHeight w:val="264" w:hRule="atLeast"/>
        </w:trPr>
        <w:tc>
          <w:tcPr>
            <w:tcW w:w="7587" w:type="dxa"/>
          </w:tcPr>
          <w:p>
            <w:pPr>
              <w:pStyle w:val="TableParagraph"/>
              <w:spacing w:before="20"/>
              <w:ind w:left="500"/>
              <w:rPr>
                <w:sz w:val="16"/>
              </w:rPr>
            </w:pPr>
            <w:r>
              <w:rPr>
                <w:sz w:val="16"/>
              </w:rPr>
              <w:t>Refacciones y accesorios menores de equipo de transporte</w:t>
            </w:r>
          </w:p>
        </w:tc>
        <w:tc>
          <w:tcPr>
            <w:tcW w:w="3148" w:type="dxa"/>
          </w:tcPr>
          <w:p>
            <w:pPr>
              <w:pStyle w:val="TableParagraph"/>
              <w:spacing w:before="5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263,042</w:t>
            </w:r>
          </w:p>
        </w:tc>
      </w:tr>
      <w:tr>
        <w:trPr>
          <w:trHeight w:val="313" w:hRule="atLeast"/>
        </w:trPr>
        <w:tc>
          <w:tcPr>
            <w:tcW w:w="7587" w:type="dxa"/>
          </w:tcPr>
          <w:p>
            <w:pPr>
              <w:pStyle w:val="TableParagraph"/>
              <w:spacing w:before="69"/>
              <w:ind w:right="2429"/>
              <w:jc w:val="right"/>
              <w:rPr>
                <w:sz w:val="16"/>
              </w:rPr>
            </w:pPr>
            <w:r>
              <w:rPr>
                <w:sz w:val="16"/>
              </w:rPr>
              <w:t>Refacciones y accesorios menores de maquinaria y otros equipos</w:t>
            </w:r>
          </w:p>
        </w:tc>
        <w:tc>
          <w:tcPr>
            <w:tcW w:w="3148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419,244</w:t>
            </w:r>
          </w:p>
        </w:tc>
      </w:tr>
      <w:tr>
        <w:trPr>
          <w:trHeight w:val="309" w:hRule="atLeast"/>
        </w:trPr>
        <w:tc>
          <w:tcPr>
            <w:tcW w:w="7587" w:type="dxa"/>
          </w:tcPr>
          <w:p>
            <w:pPr>
              <w:pStyle w:val="TableParagraph"/>
              <w:spacing w:before="69"/>
              <w:ind w:left="500"/>
              <w:rPr>
                <w:sz w:val="16"/>
              </w:rPr>
            </w:pPr>
            <w:r>
              <w:rPr>
                <w:sz w:val="16"/>
              </w:rPr>
              <w:t>Refacciones y accesorios menores otros bienes muebles</w:t>
            </w:r>
          </w:p>
        </w:tc>
        <w:tc>
          <w:tcPr>
            <w:tcW w:w="3148" w:type="dxa"/>
          </w:tcPr>
          <w:p>
            <w:pPr>
              <w:pStyle w:val="TableParagraph"/>
              <w:spacing w:before="55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1,135,857</w:t>
            </w:r>
          </w:p>
        </w:tc>
      </w:tr>
      <w:tr>
        <w:trPr>
          <w:trHeight w:val="279" w:hRule="atLeast"/>
        </w:trPr>
        <w:tc>
          <w:tcPr>
            <w:tcW w:w="7587" w:type="dxa"/>
          </w:tcPr>
          <w:p>
            <w:pPr>
              <w:pStyle w:val="TableParagraph"/>
              <w:spacing w:before="50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Servicios generales</w:t>
            </w:r>
          </w:p>
        </w:tc>
        <w:tc>
          <w:tcPr>
            <w:tcW w:w="3148" w:type="dxa"/>
          </w:tcPr>
          <w:p>
            <w:pPr>
              <w:pStyle w:val="TableParagraph"/>
              <w:spacing w:before="50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956,742,818</w:t>
            </w:r>
          </w:p>
        </w:tc>
      </w:tr>
      <w:tr>
        <w:trPr>
          <w:trHeight w:val="289" w:hRule="atLeast"/>
        </w:trPr>
        <w:tc>
          <w:tcPr>
            <w:tcW w:w="7587" w:type="dxa"/>
          </w:tcPr>
          <w:p>
            <w:pPr>
              <w:pStyle w:val="TableParagraph"/>
              <w:ind w:left="305"/>
              <w:rPr>
                <w:b/>
                <w:sz w:val="16"/>
              </w:rPr>
            </w:pPr>
            <w:r>
              <w:rPr>
                <w:b/>
                <w:sz w:val="16"/>
              </w:rPr>
              <w:t>Servicios básicos</w:t>
            </w:r>
          </w:p>
        </w:tc>
        <w:tc>
          <w:tcPr>
            <w:tcW w:w="3148" w:type="dxa"/>
          </w:tcPr>
          <w:p>
            <w:pPr>
              <w:pStyle w:val="TableParagraph"/>
              <w:spacing w:before="40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223,463,325</w:t>
            </w:r>
          </w:p>
        </w:tc>
      </w:tr>
      <w:tr>
        <w:trPr>
          <w:trHeight w:val="304" w:hRule="atLeast"/>
        </w:trPr>
        <w:tc>
          <w:tcPr>
            <w:tcW w:w="7587" w:type="dxa"/>
          </w:tcPr>
          <w:p>
            <w:pPr>
              <w:pStyle w:val="TableParagraph"/>
              <w:spacing w:before="60"/>
              <w:ind w:left="500"/>
              <w:rPr>
                <w:sz w:val="16"/>
              </w:rPr>
            </w:pPr>
            <w:r>
              <w:rPr>
                <w:sz w:val="16"/>
              </w:rPr>
              <w:t>Energía eléctrica</w:t>
            </w:r>
          </w:p>
        </w:tc>
        <w:tc>
          <w:tcPr>
            <w:tcW w:w="3148" w:type="dxa"/>
          </w:tcPr>
          <w:p>
            <w:pPr>
              <w:pStyle w:val="TableParagraph"/>
              <w:spacing w:before="45"/>
              <w:ind w:right="4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141,927,166</w:t>
            </w:r>
          </w:p>
        </w:tc>
      </w:tr>
      <w:tr>
        <w:trPr>
          <w:trHeight w:val="314" w:hRule="atLeast"/>
        </w:trPr>
        <w:tc>
          <w:tcPr>
            <w:tcW w:w="7587" w:type="dxa"/>
          </w:tcPr>
          <w:p>
            <w:pPr>
              <w:pStyle w:val="TableParagraph"/>
              <w:spacing w:before="70"/>
              <w:ind w:left="500"/>
              <w:rPr>
                <w:sz w:val="16"/>
              </w:rPr>
            </w:pPr>
            <w:r>
              <w:rPr>
                <w:sz w:val="16"/>
              </w:rPr>
              <w:t>Gas</w:t>
            </w:r>
          </w:p>
        </w:tc>
        <w:tc>
          <w:tcPr>
            <w:tcW w:w="3148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1,798,810</w:t>
            </w:r>
          </w:p>
        </w:tc>
      </w:tr>
      <w:tr>
        <w:trPr>
          <w:trHeight w:val="314" w:hRule="atLeast"/>
        </w:trPr>
        <w:tc>
          <w:tcPr>
            <w:tcW w:w="7587" w:type="dxa"/>
          </w:tcPr>
          <w:p>
            <w:pPr>
              <w:pStyle w:val="TableParagraph"/>
              <w:spacing w:before="70"/>
              <w:ind w:left="500"/>
              <w:rPr>
                <w:sz w:val="16"/>
              </w:rPr>
            </w:pPr>
            <w:r>
              <w:rPr>
                <w:sz w:val="16"/>
              </w:rPr>
              <w:t>Agua</w:t>
            </w:r>
          </w:p>
        </w:tc>
        <w:tc>
          <w:tcPr>
            <w:tcW w:w="3148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33,403,116</w:t>
            </w:r>
          </w:p>
        </w:tc>
      </w:tr>
      <w:tr>
        <w:trPr>
          <w:trHeight w:val="313" w:hRule="atLeast"/>
        </w:trPr>
        <w:tc>
          <w:tcPr>
            <w:tcW w:w="7587" w:type="dxa"/>
          </w:tcPr>
          <w:p>
            <w:pPr>
              <w:pStyle w:val="TableParagraph"/>
              <w:spacing w:before="69"/>
              <w:ind w:left="500"/>
              <w:rPr>
                <w:sz w:val="16"/>
              </w:rPr>
            </w:pPr>
            <w:r>
              <w:rPr>
                <w:sz w:val="16"/>
              </w:rPr>
              <w:t>Telefonía tradicional</w:t>
            </w:r>
          </w:p>
        </w:tc>
        <w:tc>
          <w:tcPr>
            <w:tcW w:w="3148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16,873,228</w:t>
            </w:r>
          </w:p>
        </w:tc>
      </w:tr>
      <w:tr>
        <w:trPr>
          <w:trHeight w:val="448" w:hRule="atLeast"/>
        </w:trPr>
        <w:tc>
          <w:tcPr>
            <w:tcW w:w="7587" w:type="dxa"/>
          </w:tcPr>
          <w:p>
            <w:pPr>
              <w:pStyle w:val="TableParagraph"/>
              <w:spacing w:line="184" w:lineRule="exact" w:before="73"/>
              <w:ind w:left="500" w:right="2175"/>
              <w:rPr>
                <w:sz w:val="16"/>
              </w:rPr>
            </w:pPr>
            <w:r>
              <w:rPr>
                <w:sz w:val="16"/>
              </w:rPr>
              <w:t>Servicios de acceso de internet, redes y procesamiento de información</w:t>
            </w:r>
          </w:p>
        </w:tc>
        <w:tc>
          <w:tcPr>
            <w:tcW w:w="3148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27,807,985</w:t>
            </w:r>
          </w:p>
        </w:tc>
      </w:tr>
      <w:tr>
        <w:trPr>
          <w:trHeight w:val="259" w:hRule="atLeast"/>
        </w:trPr>
        <w:tc>
          <w:tcPr>
            <w:tcW w:w="7587" w:type="dxa"/>
          </w:tcPr>
          <w:p>
            <w:pPr>
              <w:pStyle w:val="TableParagraph"/>
              <w:spacing w:before="20"/>
              <w:ind w:left="500"/>
              <w:rPr>
                <w:sz w:val="16"/>
              </w:rPr>
            </w:pPr>
            <w:r>
              <w:rPr>
                <w:sz w:val="16"/>
              </w:rPr>
              <w:t>Servicios postales y telegráficos</w:t>
            </w:r>
          </w:p>
        </w:tc>
        <w:tc>
          <w:tcPr>
            <w:tcW w:w="3148" w:type="dxa"/>
          </w:tcPr>
          <w:p>
            <w:pPr>
              <w:pStyle w:val="TableParagraph"/>
              <w:spacing w:before="5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1,653,020</w:t>
            </w:r>
          </w:p>
        </w:tc>
      </w:tr>
      <w:tr>
        <w:trPr>
          <w:trHeight w:val="299" w:hRule="atLeast"/>
        </w:trPr>
        <w:tc>
          <w:tcPr>
            <w:tcW w:w="7587" w:type="dxa"/>
          </w:tcPr>
          <w:p>
            <w:pPr>
              <w:pStyle w:val="TableParagraph"/>
              <w:spacing w:before="65"/>
              <w:ind w:left="305"/>
              <w:rPr>
                <w:b/>
                <w:sz w:val="16"/>
              </w:rPr>
            </w:pPr>
            <w:r>
              <w:rPr>
                <w:b/>
                <w:sz w:val="16"/>
              </w:rPr>
              <w:t>Servicios de arrendamiento</w:t>
            </w:r>
          </w:p>
        </w:tc>
        <w:tc>
          <w:tcPr>
            <w:tcW w:w="3148" w:type="dxa"/>
          </w:tcPr>
          <w:p>
            <w:pPr>
              <w:pStyle w:val="TableParagraph"/>
              <w:spacing w:before="49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90,503,145</w:t>
            </w:r>
          </w:p>
        </w:tc>
      </w:tr>
      <w:tr>
        <w:trPr>
          <w:trHeight w:val="304" w:hRule="atLeast"/>
        </w:trPr>
        <w:tc>
          <w:tcPr>
            <w:tcW w:w="7587" w:type="dxa"/>
          </w:tcPr>
          <w:p>
            <w:pPr>
              <w:pStyle w:val="TableParagraph"/>
              <w:spacing w:before="60"/>
              <w:ind w:left="500"/>
              <w:rPr>
                <w:sz w:val="16"/>
              </w:rPr>
            </w:pPr>
            <w:r>
              <w:rPr>
                <w:sz w:val="16"/>
              </w:rPr>
              <w:t>Arrendamiento de edificios</w:t>
            </w:r>
          </w:p>
        </w:tc>
        <w:tc>
          <w:tcPr>
            <w:tcW w:w="3148" w:type="dxa"/>
          </w:tcPr>
          <w:p>
            <w:pPr>
              <w:pStyle w:val="TableParagraph"/>
              <w:spacing w:before="45"/>
              <w:ind w:right="4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59,275,016</w:t>
            </w:r>
          </w:p>
        </w:tc>
      </w:tr>
      <w:tr>
        <w:trPr>
          <w:trHeight w:val="448" w:hRule="atLeast"/>
        </w:trPr>
        <w:tc>
          <w:tcPr>
            <w:tcW w:w="7587" w:type="dxa"/>
          </w:tcPr>
          <w:p>
            <w:pPr>
              <w:pStyle w:val="TableParagraph"/>
              <w:spacing w:line="180" w:lineRule="atLeast" w:before="69"/>
              <w:ind w:left="500" w:right="2175"/>
              <w:rPr>
                <w:sz w:val="16"/>
              </w:rPr>
            </w:pPr>
            <w:r>
              <w:rPr>
                <w:sz w:val="16"/>
              </w:rPr>
              <w:t>Arrendamiento de mobiliario y equipo de administración, educacional y recreativo</w:t>
            </w:r>
          </w:p>
        </w:tc>
        <w:tc>
          <w:tcPr>
            <w:tcW w:w="3148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18,299,450</w:t>
            </w:r>
          </w:p>
        </w:tc>
      </w:tr>
      <w:tr>
        <w:trPr>
          <w:trHeight w:val="263" w:hRule="atLeast"/>
        </w:trPr>
        <w:tc>
          <w:tcPr>
            <w:tcW w:w="7587" w:type="dxa"/>
          </w:tcPr>
          <w:p>
            <w:pPr>
              <w:pStyle w:val="TableParagraph"/>
              <w:spacing w:before="19"/>
              <w:ind w:left="500"/>
              <w:rPr>
                <w:sz w:val="16"/>
              </w:rPr>
            </w:pPr>
            <w:r>
              <w:rPr>
                <w:sz w:val="16"/>
              </w:rPr>
              <w:t>Arrendamiento de activos intangibles</w:t>
            </w:r>
          </w:p>
        </w:tc>
        <w:tc>
          <w:tcPr>
            <w:tcW w:w="3148" w:type="dxa"/>
          </w:tcPr>
          <w:p>
            <w:pPr>
              <w:pStyle w:val="TableParagraph"/>
              <w:spacing w:before="5"/>
              <w:ind w:right="4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12,614,698</w:t>
            </w:r>
          </w:p>
        </w:tc>
      </w:tr>
      <w:tr>
        <w:trPr>
          <w:trHeight w:val="309" w:hRule="atLeast"/>
        </w:trPr>
        <w:tc>
          <w:tcPr>
            <w:tcW w:w="7587" w:type="dxa"/>
          </w:tcPr>
          <w:p>
            <w:pPr>
              <w:pStyle w:val="TableParagraph"/>
              <w:spacing w:before="70"/>
              <w:ind w:left="500"/>
              <w:rPr>
                <w:sz w:val="16"/>
              </w:rPr>
            </w:pPr>
            <w:r>
              <w:rPr>
                <w:sz w:val="16"/>
              </w:rPr>
              <w:t>Otros arrendamientos</w:t>
            </w:r>
          </w:p>
        </w:tc>
        <w:tc>
          <w:tcPr>
            <w:tcW w:w="3148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313,981</w:t>
            </w:r>
          </w:p>
        </w:tc>
      </w:tr>
      <w:tr>
        <w:trPr>
          <w:trHeight w:val="248" w:hRule="atLeast"/>
        </w:trPr>
        <w:tc>
          <w:tcPr>
            <w:tcW w:w="7587" w:type="dxa"/>
          </w:tcPr>
          <w:p>
            <w:pPr>
              <w:pStyle w:val="TableParagraph"/>
              <w:spacing w:line="164" w:lineRule="exact" w:before="65"/>
              <w:ind w:left="305"/>
              <w:rPr>
                <w:b/>
                <w:sz w:val="16"/>
              </w:rPr>
            </w:pPr>
            <w:r>
              <w:rPr>
                <w:b/>
                <w:sz w:val="16"/>
              </w:rPr>
              <w:t>Servicios profesionales, científicos, técnicos y otros servicios</w:t>
            </w:r>
          </w:p>
        </w:tc>
        <w:tc>
          <w:tcPr>
            <w:tcW w:w="3148" w:type="dxa"/>
          </w:tcPr>
          <w:p>
            <w:pPr>
              <w:pStyle w:val="TableParagraph"/>
              <w:spacing w:line="179" w:lineRule="exact" w:before="49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48,891,088</w:t>
            </w:r>
          </w:p>
        </w:tc>
      </w:tr>
    </w:tbl>
    <w:p>
      <w:pPr>
        <w:spacing w:after="0" w:line="179" w:lineRule="exact"/>
        <w:jc w:val="right"/>
        <w:rPr>
          <w:sz w:val="16"/>
        </w:rPr>
        <w:sectPr>
          <w:pgSz w:w="12240" w:h="15840"/>
          <w:pgMar w:header="343" w:footer="0" w:top="2660" w:bottom="280" w:left="740" w:right="540"/>
        </w:sectPr>
      </w:pPr>
    </w:p>
    <w:p>
      <w:pPr>
        <w:pStyle w:val="BodyText"/>
        <w:spacing w:before="10"/>
        <w:ind w:left="0"/>
        <w:jc w:val="left"/>
        <w:rPr>
          <w:rFonts w:ascii="Times New Roman"/>
          <w:sz w:val="2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6"/>
        <w:gridCol w:w="3219"/>
      </w:tblGrid>
      <w:tr>
        <w:trPr>
          <w:trHeight w:val="254" w:hRule="atLeast"/>
        </w:trPr>
        <w:tc>
          <w:tcPr>
            <w:tcW w:w="7516" w:type="dxa"/>
          </w:tcPr>
          <w:p>
            <w:pPr>
              <w:pStyle w:val="TableParagraph"/>
              <w:spacing w:before="10"/>
              <w:ind w:left="500"/>
              <w:rPr>
                <w:sz w:val="16"/>
              </w:rPr>
            </w:pPr>
            <w:r>
              <w:rPr>
                <w:sz w:val="16"/>
              </w:rPr>
              <w:t>Servicios legales, de contabilidad, auditoría y relacionados</w:t>
            </w:r>
          </w:p>
        </w:tc>
        <w:tc>
          <w:tcPr>
            <w:tcW w:w="3219" w:type="dxa"/>
          </w:tcPr>
          <w:p>
            <w:pPr>
              <w:pStyle w:val="TableParagraph"/>
              <w:spacing w:line="178" w:lineRule="exact" w:before="0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2,647,008</w:t>
            </w:r>
          </w:p>
        </w:tc>
      </w:tr>
      <w:tr>
        <w:trPr>
          <w:trHeight w:val="448" w:hRule="atLeast"/>
        </w:trPr>
        <w:tc>
          <w:tcPr>
            <w:tcW w:w="7516" w:type="dxa"/>
          </w:tcPr>
          <w:p>
            <w:pPr>
              <w:pStyle w:val="TableParagraph"/>
              <w:spacing w:line="184" w:lineRule="exact" w:before="73"/>
              <w:ind w:left="500" w:right="2082"/>
              <w:rPr>
                <w:sz w:val="16"/>
              </w:rPr>
            </w:pPr>
            <w:r>
              <w:rPr>
                <w:sz w:val="16"/>
              </w:rPr>
              <w:t>Servicios de diseño, arquitectura, ingeniería y actividades relacionadas</w:t>
            </w:r>
          </w:p>
        </w:tc>
        <w:tc>
          <w:tcPr>
            <w:tcW w:w="3219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38,604</w:t>
            </w:r>
          </w:p>
        </w:tc>
      </w:tr>
      <w:tr>
        <w:trPr>
          <w:trHeight w:val="263" w:hRule="atLeast"/>
        </w:trPr>
        <w:tc>
          <w:tcPr>
            <w:tcW w:w="7516" w:type="dxa"/>
          </w:tcPr>
          <w:p>
            <w:pPr>
              <w:pStyle w:val="TableParagraph"/>
              <w:spacing w:before="19"/>
              <w:ind w:left="500"/>
              <w:rPr>
                <w:sz w:val="16"/>
              </w:rPr>
            </w:pPr>
            <w:r>
              <w:rPr>
                <w:sz w:val="16"/>
              </w:rPr>
              <w:t>Servicios de capacitación</w:t>
            </w:r>
          </w:p>
        </w:tc>
        <w:tc>
          <w:tcPr>
            <w:tcW w:w="3219" w:type="dxa"/>
          </w:tcPr>
          <w:p>
            <w:pPr>
              <w:pStyle w:val="TableParagraph"/>
              <w:spacing w:before="5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2,778,996</w:t>
            </w:r>
          </w:p>
        </w:tc>
      </w:tr>
      <w:tr>
        <w:trPr>
          <w:trHeight w:val="448" w:hRule="atLeast"/>
        </w:trPr>
        <w:tc>
          <w:tcPr>
            <w:tcW w:w="7516" w:type="dxa"/>
          </w:tcPr>
          <w:p>
            <w:pPr>
              <w:pStyle w:val="TableParagraph"/>
              <w:spacing w:line="184" w:lineRule="exact" w:before="73"/>
              <w:ind w:left="500" w:right="2082"/>
              <w:rPr>
                <w:sz w:val="16"/>
              </w:rPr>
            </w:pPr>
            <w:r>
              <w:rPr>
                <w:sz w:val="16"/>
              </w:rPr>
              <w:t>Servicios de apoyo administrativo, traducción, fotocopiado e impresión</w:t>
            </w:r>
          </w:p>
        </w:tc>
        <w:tc>
          <w:tcPr>
            <w:tcW w:w="3219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144,597</w:t>
            </w:r>
          </w:p>
        </w:tc>
      </w:tr>
      <w:tr>
        <w:trPr>
          <w:trHeight w:val="264" w:hRule="atLeast"/>
        </w:trPr>
        <w:tc>
          <w:tcPr>
            <w:tcW w:w="7516" w:type="dxa"/>
          </w:tcPr>
          <w:p>
            <w:pPr>
              <w:pStyle w:val="TableParagraph"/>
              <w:spacing w:before="20"/>
              <w:ind w:left="500"/>
              <w:rPr>
                <w:sz w:val="16"/>
              </w:rPr>
            </w:pPr>
            <w:r>
              <w:rPr>
                <w:sz w:val="16"/>
              </w:rPr>
              <w:t>Servicios de protección y seguridad</w:t>
            </w:r>
          </w:p>
        </w:tc>
        <w:tc>
          <w:tcPr>
            <w:tcW w:w="3219" w:type="dxa"/>
          </w:tcPr>
          <w:p>
            <w:pPr>
              <w:pStyle w:val="TableParagraph"/>
              <w:spacing w:before="5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480,000</w:t>
            </w:r>
          </w:p>
        </w:tc>
      </w:tr>
      <w:tr>
        <w:trPr>
          <w:trHeight w:val="313" w:hRule="atLeast"/>
        </w:trPr>
        <w:tc>
          <w:tcPr>
            <w:tcW w:w="7516" w:type="dxa"/>
          </w:tcPr>
          <w:p>
            <w:pPr>
              <w:pStyle w:val="TableParagraph"/>
              <w:spacing w:before="69"/>
              <w:ind w:left="500"/>
              <w:rPr>
                <w:sz w:val="16"/>
              </w:rPr>
            </w:pPr>
            <w:r>
              <w:rPr>
                <w:sz w:val="16"/>
              </w:rPr>
              <w:t>Servicios de vigilancia</w:t>
            </w:r>
          </w:p>
        </w:tc>
        <w:tc>
          <w:tcPr>
            <w:tcW w:w="3219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42,761,883</w:t>
            </w:r>
          </w:p>
        </w:tc>
      </w:tr>
      <w:tr>
        <w:trPr>
          <w:trHeight w:val="309" w:hRule="atLeast"/>
        </w:trPr>
        <w:tc>
          <w:tcPr>
            <w:tcW w:w="7516" w:type="dxa"/>
          </w:tcPr>
          <w:p>
            <w:pPr>
              <w:pStyle w:val="TableParagraph"/>
              <w:spacing w:before="70"/>
              <w:ind w:left="500"/>
              <w:rPr>
                <w:sz w:val="16"/>
              </w:rPr>
            </w:pPr>
            <w:r>
              <w:rPr>
                <w:sz w:val="16"/>
              </w:rPr>
              <w:t>Servicios profesionales, científicos y técnicos integrales</w:t>
            </w:r>
          </w:p>
        </w:tc>
        <w:tc>
          <w:tcPr>
            <w:tcW w:w="3219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40,000</w:t>
            </w:r>
          </w:p>
        </w:tc>
      </w:tr>
      <w:tr>
        <w:trPr>
          <w:trHeight w:val="299" w:hRule="atLeast"/>
        </w:trPr>
        <w:tc>
          <w:tcPr>
            <w:tcW w:w="7516" w:type="dxa"/>
          </w:tcPr>
          <w:p>
            <w:pPr>
              <w:pStyle w:val="TableParagraph"/>
              <w:spacing w:before="64"/>
              <w:ind w:left="305"/>
              <w:rPr>
                <w:b/>
                <w:sz w:val="16"/>
              </w:rPr>
            </w:pPr>
            <w:r>
              <w:rPr>
                <w:b/>
                <w:sz w:val="16"/>
              </w:rPr>
              <w:t>Servicios financieros, bancarios y comerciales</w:t>
            </w:r>
          </w:p>
        </w:tc>
        <w:tc>
          <w:tcPr>
            <w:tcW w:w="3219" w:type="dxa"/>
          </w:tcPr>
          <w:p>
            <w:pPr>
              <w:pStyle w:val="TableParagraph"/>
              <w:spacing w:before="50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284,790,452</w:t>
            </w:r>
          </w:p>
        </w:tc>
      </w:tr>
      <w:tr>
        <w:trPr>
          <w:trHeight w:val="304" w:hRule="atLeast"/>
        </w:trPr>
        <w:tc>
          <w:tcPr>
            <w:tcW w:w="7516" w:type="dxa"/>
          </w:tcPr>
          <w:p>
            <w:pPr>
              <w:pStyle w:val="TableParagraph"/>
              <w:spacing w:before="60"/>
              <w:ind w:left="500"/>
              <w:rPr>
                <w:sz w:val="16"/>
              </w:rPr>
            </w:pPr>
            <w:r>
              <w:rPr>
                <w:sz w:val="16"/>
              </w:rPr>
              <w:t>Servicios financieros y bancarios</w:t>
            </w:r>
          </w:p>
        </w:tc>
        <w:tc>
          <w:tcPr>
            <w:tcW w:w="3219" w:type="dxa"/>
          </w:tcPr>
          <w:p>
            <w:pPr>
              <w:pStyle w:val="TableParagraph"/>
              <w:spacing w:before="45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5,097,508</w:t>
            </w:r>
          </w:p>
        </w:tc>
      </w:tr>
      <w:tr>
        <w:trPr>
          <w:trHeight w:val="314" w:hRule="atLeast"/>
        </w:trPr>
        <w:tc>
          <w:tcPr>
            <w:tcW w:w="7516" w:type="dxa"/>
          </w:tcPr>
          <w:p>
            <w:pPr>
              <w:pStyle w:val="TableParagraph"/>
              <w:spacing w:before="70"/>
              <w:ind w:left="500"/>
              <w:rPr>
                <w:sz w:val="16"/>
              </w:rPr>
            </w:pPr>
            <w:r>
              <w:rPr>
                <w:sz w:val="16"/>
              </w:rPr>
              <w:t>Servicios de recaudación, traslado y custodia de valores</w:t>
            </w:r>
          </w:p>
        </w:tc>
        <w:tc>
          <w:tcPr>
            <w:tcW w:w="3219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259,202,179</w:t>
            </w:r>
          </w:p>
        </w:tc>
      </w:tr>
      <w:tr>
        <w:trPr>
          <w:trHeight w:val="313" w:hRule="atLeast"/>
        </w:trPr>
        <w:tc>
          <w:tcPr>
            <w:tcW w:w="7516" w:type="dxa"/>
          </w:tcPr>
          <w:p>
            <w:pPr>
              <w:pStyle w:val="TableParagraph"/>
              <w:spacing w:before="69"/>
              <w:ind w:left="500"/>
              <w:rPr>
                <w:sz w:val="16"/>
              </w:rPr>
            </w:pPr>
            <w:r>
              <w:rPr>
                <w:sz w:val="16"/>
              </w:rPr>
              <w:t>Seguros de responsabilidad patrimonial y fianzas</w:t>
            </w:r>
          </w:p>
        </w:tc>
        <w:tc>
          <w:tcPr>
            <w:tcW w:w="3219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186,913</w:t>
            </w:r>
          </w:p>
        </w:tc>
      </w:tr>
      <w:tr>
        <w:trPr>
          <w:trHeight w:val="313" w:hRule="atLeast"/>
        </w:trPr>
        <w:tc>
          <w:tcPr>
            <w:tcW w:w="7516" w:type="dxa"/>
          </w:tcPr>
          <w:p>
            <w:pPr>
              <w:pStyle w:val="TableParagraph"/>
              <w:spacing w:before="69"/>
              <w:ind w:left="500"/>
              <w:rPr>
                <w:sz w:val="16"/>
              </w:rPr>
            </w:pPr>
            <w:r>
              <w:rPr>
                <w:sz w:val="16"/>
              </w:rPr>
              <w:t>Seguro de bienes patrimoniales</w:t>
            </w:r>
          </w:p>
        </w:tc>
        <w:tc>
          <w:tcPr>
            <w:tcW w:w="3219" w:type="dxa"/>
          </w:tcPr>
          <w:p>
            <w:pPr>
              <w:pStyle w:val="TableParagraph"/>
              <w:spacing w:before="55"/>
              <w:ind w:right="4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18,869,216</w:t>
            </w:r>
          </w:p>
        </w:tc>
      </w:tr>
      <w:tr>
        <w:trPr>
          <w:trHeight w:val="309" w:hRule="atLeast"/>
        </w:trPr>
        <w:tc>
          <w:tcPr>
            <w:tcW w:w="7516" w:type="dxa"/>
          </w:tcPr>
          <w:p>
            <w:pPr>
              <w:pStyle w:val="TableParagraph"/>
              <w:spacing w:before="70"/>
              <w:ind w:left="500"/>
              <w:rPr>
                <w:sz w:val="16"/>
              </w:rPr>
            </w:pPr>
            <w:r>
              <w:rPr>
                <w:sz w:val="16"/>
              </w:rPr>
              <w:t>Fletes y maniobras</w:t>
            </w:r>
          </w:p>
        </w:tc>
        <w:tc>
          <w:tcPr>
            <w:tcW w:w="3219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1,434,636</w:t>
            </w:r>
          </w:p>
        </w:tc>
      </w:tr>
      <w:tr>
        <w:trPr>
          <w:trHeight w:val="299" w:hRule="atLeast"/>
        </w:trPr>
        <w:tc>
          <w:tcPr>
            <w:tcW w:w="7516" w:type="dxa"/>
          </w:tcPr>
          <w:p>
            <w:pPr>
              <w:pStyle w:val="TableParagraph"/>
              <w:spacing w:before="65"/>
              <w:ind w:left="305"/>
              <w:rPr>
                <w:b/>
                <w:sz w:val="16"/>
              </w:rPr>
            </w:pPr>
            <w:r>
              <w:rPr>
                <w:b/>
                <w:sz w:val="16"/>
              </w:rPr>
              <w:t>Servicios de instalación, reparación, mantenimiento y conservación</w:t>
            </w:r>
          </w:p>
        </w:tc>
        <w:tc>
          <w:tcPr>
            <w:tcW w:w="3219" w:type="dxa"/>
          </w:tcPr>
          <w:p>
            <w:pPr>
              <w:pStyle w:val="TableParagraph"/>
              <w:spacing w:before="49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96,987,642</w:t>
            </w:r>
          </w:p>
        </w:tc>
      </w:tr>
      <w:tr>
        <w:trPr>
          <w:trHeight w:val="304" w:hRule="atLeast"/>
        </w:trPr>
        <w:tc>
          <w:tcPr>
            <w:tcW w:w="7516" w:type="dxa"/>
          </w:tcPr>
          <w:p>
            <w:pPr>
              <w:pStyle w:val="TableParagraph"/>
              <w:spacing w:before="60"/>
              <w:ind w:left="500"/>
              <w:rPr>
                <w:sz w:val="16"/>
              </w:rPr>
            </w:pPr>
            <w:r>
              <w:rPr>
                <w:sz w:val="16"/>
              </w:rPr>
              <w:t>Conservación y mantenimiento menor de inmuebles</w:t>
            </w:r>
          </w:p>
        </w:tc>
        <w:tc>
          <w:tcPr>
            <w:tcW w:w="3219" w:type="dxa"/>
          </w:tcPr>
          <w:p>
            <w:pPr>
              <w:pStyle w:val="TableParagraph"/>
              <w:spacing w:before="45"/>
              <w:ind w:right="4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15,778,451</w:t>
            </w:r>
          </w:p>
        </w:tc>
      </w:tr>
      <w:tr>
        <w:trPr>
          <w:trHeight w:val="448" w:hRule="atLeast"/>
        </w:trPr>
        <w:tc>
          <w:tcPr>
            <w:tcW w:w="7516" w:type="dxa"/>
          </w:tcPr>
          <w:p>
            <w:pPr>
              <w:pStyle w:val="TableParagraph"/>
              <w:spacing w:line="184" w:lineRule="exact" w:before="73"/>
              <w:ind w:left="500" w:right="2082"/>
              <w:rPr>
                <w:sz w:val="16"/>
              </w:rPr>
            </w:pPr>
            <w:r>
              <w:rPr>
                <w:sz w:val="16"/>
              </w:rPr>
              <w:t>Instalación, reparación y mantenimiento de mobiliario y equipo de administración, educacional y recreativo</w:t>
            </w:r>
          </w:p>
        </w:tc>
        <w:tc>
          <w:tcPr>
            <w:tcW w:w="3219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6,404,497</w:t>
            </w:r>
          </w:p>
        </w:tc>
      </w:tr>
      <w:tr>
        <w:trPr>
          <w:trHeight w:val="397" w:hRule="atLeast"/>
        </w:trPr>
        <w:tc>
          <w:tcPr>
            <w:tcW w:w="7516" w:type="dxa"/>
          </w:tcPr>
          <w:p>
            <w:pPr>
              <w:pStyle w:val="TableParagraph"/>
              <w:spacing w:line="180" w:lineRule="atLeast" w:before="19"/>
              <w:ind w:left="500" w:right="2082"/>
              <w:rPr>
                <w:sz w:val="16"/>
              </w:rPr>
            </w:pPr>
            <w:r>
              <w:rPr>
                <w:sz w:val="16"/>
              </w:rPr>
              <w:t>Instalación, reparación y mantenimiento de equipo de cómputo y tecnología de la información</w:t>
            </w:r>
          </w:p>
        </w:tc>
        <w:tc>
          <w:tcPr>
            <w:tcW w:w="3219" w:type="dxa"/>
          </w:tcPr>
          <w:p>
            <w:pPr>
              <w:pStyle w:val="TableParagraph"/>
              <w:spacing w:before="5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3,378,902</w:t>
            </w:r>
          </w:p>
        </w:tc>
      </w:tr>
      <w:tr>
        <w:trPr>
          <w:trHeight w:val="264" w:hRule="atLeast"/>
        </w:trPr>
        <w:tc>
          <w:tcPr>
            <w:tcW w:w="7516" w:type="dxa"/>
          </w:tcPr>
          <w:p>
            <w:pPr>
              <w:pStyle w:val="TableParagraph"/>
              <w:spacing w:before="20"/>
              <w:ind w:left="500"/>
              <w:rPr>
                <w:sz w:val="16"/>
              </w:rPr>
            </w:pPr>
            <w:r>
              <w:rPr>
                <w:sz w:val="16"/>
              </w:rPr>
              <w:t>Reparación y mantenimiento de equipo de transporte</w:t>
            </w:r>
          </w:p>
        </w:tc>
        <w:tc>
          <w:tcPr>
            <w:tcW w:w="3219" w:type="dxa"/>
          </w:tcPr>
          <w:p>
            <w:pPr>
              <w:pStyle w:val="TableParagraph"/>
              <w:spacing w:before="4"/>
              <w:ind w:right="4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41,980,528</w:t>
            </w:r>
          </w:p>
        </w:tc>
      </w:tr>
      <w:tr>
        <w:trPr>
          <w:trHeight w:val="448" w:hRule="atLeast"/>
        </w:trPr>
        <w:tc>
          <w:tcPr>
            <w:tcW w:w="7516" w:type="dxa"/>
          </w:tcPr>
          <w:p>
            <w:pPr>
              <w:pStyle w:val="TableParagraph"/>
              <w:spacing w:line="184" w:lineRule="exact" w:before="73"/>
              <w:ind w:left="500" w:right="2059"/>
              <w:rPr>
                <w:sz w:val="16"/>
              </w:rPr>
            </w:pPr>
            <w:r>
              <w:rPr>
                <w:sz w:val="16"/>
              </w:rPr>
              <w:t>Instalación, reparación y mantenimiento de maquinaria, otros equipos y herramienta</w:t>
            </w:r>
          </w:p>
        </w:tc>
        <w:tc>
          <w:tcPr>
            <w:tcW w:w="3219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2,847,352</w:t>
            </w:r>
          </w:p>
        </w:tc>
      </w:tr>
      <w:tr>
        <w:trPr>
          <w:trHeight w:val="263" w:hRule="atLeast"/>
        </w:trPr>
        <w:tc>
          <w:tcPr>
            <w:tcW w:w="7516" w:type="dxa"/>
          </w:tcPr>
          <w:p>
            <w:pPr>
              <w:pStyle w:val="TableParagraph"/>
              <w:spacing w:before="19"/>
              <w:ind w:left="500"/>
              <w:rPr>
                <w:sz w:val="16"/>
              </w:rPr>
            </w:pPr>
            <w:r>
              <w:rPr>
                <w:sz w:val="16"/>
              </w:rPr>
              <w:t>Servicios de limpieza y manejo de desechos</w:t>
            </w:r>
          </w:p>
        </w:tc>
        <w:tc>
          <w:tcPr>
            <w:tcW w:w="3219" w:type="dxa"/>
          </w:tcPr>
          <w:p>
            <w:pPr>
              <w:pStyle w:val="TableParagraph"/>
              <w:spacing w:before="5"/>
              <w:ind w:right="4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25,062,948</w:t>
            </w:r>
          </w:p>
        </w:tc>
      </w:tr>
      <w:tr>
        <w:trPr>
          <w:trHeight w:val="309" w:hRule="atLeast"/>
        </w:trPr>
        <w:tc>
          <w:tcPr>
            <w:tcW w:w="7516" w:type="dxa"/>
          </w:tcPr>
          <w:p>
            <w:pPr>
              <w:pStyle w:val="TableParagraph"/>
              <w:spacing w:before="70"/>
              <w:ind w:left="500"/>
              <w:rPr>
                <w:sz w:val="16"/>
              </w:rPr>
            </w:pPr>
            <w:r>
              <w:rPr>
                <w:sz w:val="16"/>
              </w:rPr>
              <w:t>Servicios de jardinería y fumigación</w:t>
            </w:r>
          </w:p>
        </w:tc>
        <w:tc>
          <w:tcPr>
            <w:tcW w:w="3219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1,534,964</w:t>
            </w:r>
          </w:p>
        </w:tc>
      </w:tr>
      <w:tr>
        <w:trPr>
          <w:trHeight w:val="299" w:hRule="atLeast"/>
        </w:trPr>
        <w:tc>
          <w:tcPr>
            <w:tcW w:w="7516" w:type="dxa"/>
          </w:tcPr>
          <w:p>
            <w:pPr>
              <w:pStyle w:val="TableParagraph"/>
              <w:spacing w:before="64"/>
              <w:ind w:left="305"/>
              <w:rPr>
                <w:b/>
                <w:sz w:val="16"/>
              </w:rPr>
            </w:pPr>
            <w:r>
              <w:rPr>
                <w:b/>
                <w:sz w:val="16"/>
              </w:rPr>
              <w:t>Servicios de comunicación social y publicidad</w:t>
            </w:r>
          </w:p>
        </w:tc>
        <w:tc>
          <w:tcPr>
            <w:tcW w:w="3219" w:type="dxa"/>
          </w:tcPr>
          <w:p>
            <w:pPr>
              <w:pStyle w:val="TableParagraph"/>
              <w:spacing w:before="50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80,000,172</w:t>
            </w:r>
          </w:p>
        </w:tc>
      </w:tr>
      <w:tr>
        <w:trPr>
          <w:trHeight w:val="246" w:hRule="atLeast"/>
        </w:trPr>
        <w:tc>
          <w:tcPr>
            <w:tcW w:w="7516" w:type="dxa"/>
          </w:tcPr>
          <w:p>
            <w:pPr>
              <w:pStyle w:val="TableParagraph"/>
              <w:spacing w:line="167" w:lineRule="exact" w:before="60"/>
              <w:ind w:left="500"/>
              <w:rPr>
                <w:sz w:val="16"/>
              </w:rPr>
            </w:pPr>
            <w:r>
              <w:rPr>
                <w:sz w:val="16"/>
              </w:rPr>
              <w:t>Difusión por radio, televisión y otros medios de mensajes sobre</w:t>
            </w:r>
          </w:p>
        </w:tc>
        <w:tc>
          <w:tcPr>
            <w:tcW w:w="3219" w:type="dxa"/>
          </w:tcPr>
          <w:p>
            <w:pPr>
              <w:pStyle w:val="TableParagraph"/>
              <w:spacing w:line="181" w:lineRule="exact" w:before="45"/>
              <w:ind w:right="4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80,000,172</w:t>
            </w:r>
          </w:p>
        </w:tc>
      </w:tr>
      <w:tr>
        <w:trPr>
          <w:trHeight w:val="436" w:hRule="atLeast"/>
        </w:trPr>
        <w:tc>
          <w:tcPr>
            <w:tcW w:w="7516" w:type="dxa"/>
          </w:tcPr>
          <w:p>
            <w:pPr>
              <w:pStyle w:val="TableParagraph"/>
              <w:spacing w:line="181" w:lineRule="exact" w:before="0"/>
              <w:ind w:left="500"/>
              <w:rPr>
                <w:sz w:val="16"/>
              </w:rPr>
            </w:pPr>
            <w:r>
              <w:rPr>
                <w:sz w:val="16"/>
              </w:rPr>
              <w:t>programas y actividades gubernamentales</w:t>
            </w:r>
          </w:p>
          <w:p>
            <w:pPr>
              <w:pStyle w:val="TableParagraph"/>
              <w:spacing w:before="20"/>
              <w:ind w:left="305"/>
              <w:rPr>
                <w:b/>
                <w:sz w:val="16"/>
              </w:rPr>
            </w:pPr>
            <w:r>
              <w:rPr>
                <w:b/>
                <w:sz w:val="16"/>
              </w:rPr>
              <w:t>Servicios de traslado y viáticos</w:t>
            </w:r>
          </w:p>
        </w:tc>
        <w:tc>
          <w:tcPr>
            <w:tcW w:w="3219" w:type="dxa"/>
          </w:tcPr>
          <w:p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33,673,058</w:t>
            </w:r>
          </w:p>
        </w:tc>
      </w:tr>
      <w:tr>
        <w:trPr>
          <w:trHeight w:val="304" w:hRule="atLeast"/>
        </w:trPr>
        <w:tc>
          <w:tcPr>
            <w:tcW w:w="7516" w:type="dxa"/>
          </w:tcPr>
          <w:p>
            <w:pPr>
              <w:pStyle w:val="TableParagraph"/>
              <w:spacing w:before="60"/>
              <w:ind w:left="500"/>
              <w:rPr>
                <w:sz w:val="16"/>
              </w:rPr>
            </w:pPr>
            <w:r>
              <w:rPr>
                <w:sz w:val="16"/>
              </w:rPr>
              <w:t>Pasajes aéreos</w:t>
            </w:r>
          </w:p>
        </w:tc>
        <w:tc>
          <w:tcPr>
            <w:tcW w:w="3219" w:type="dxa"/>
          </w:tcPr>
          <w:p>
            <w:pPr>
              <w:pStyle w:val="TableParagraph"/>
              <w:spacing w:before="45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347,204</w:t>
            </w:r>
          </w:p>
        </w:tc>
      </w:tr>
      <w:tr>
        <w:trPr>
          <w:trHeight w:val="314" w:hRule="atLeast"/>
        </w:trPr>
        <w:tc>
          <w:tcPr>
            <w:tcW w:w="7516" w:type="dxa"/>
          </w:tcPr>
          <w:p>
            <w:pPr>
              <w:pStyle w:val="TableParagraph"/>
              <w:spacing w:before="70"/>
              <w:ind w:left="500"/>
              <w:rPr>
                <w:sz w:val="16"/>
              </w:rPr>
            </w:pPr>
            <w:r>
              <w:rPr>
                <w:sz w:val="16"/>
              </w:rPr>
              <w:t>Viáticos en el país</w:t>
            </w:r>
          </w:p>
        </w:tc>
        <w:tc>
          <w:tcPr>
            <w:tcW w:w="3219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31,681,734</w:t>
            </w:r>
          </w:p>
        </w:tc>
      </w:tr>
      <w:tr>
        <w:trPr>
          <w:trHeight w:val="314" w:hRule="atLeast"/>
        </w:trPr>
        <w:tc>
          <w:tcPr>
            <w:tcW w:w="7516" w:type="dxa"/>
          </w:tcPr>
          <w:p>
            <w:pPr>
              <w:pStyle w:val="TableParagraph"/>
              <w:spacing w:before="70"/>
              <w:ind w:left="500"/>
              <w:rPr>
                <w:sz w:val="16"/>
              </w:rPr>
            </w:pPr>
            <w:r>
              <w:rPr>
                <w:sz w:val="16"/>
              </w:rPr>
              <w:t>Viáticos en el extranjero</w:t>
            </w:r>
          </w:p>
        </w:tc>
        <w:tc>
          <w:tcPr>
            <w:tcW w:w="3219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204,120</w:t>
            </w:r>
          </w:p>
        </w:tc>
      </w:tr>
      <w:tr>
        <w:trPr>
          <w:trHeight w:val="308" w:hRule="atLeast"/>
        </w:trPr>
        <w:tc>
          <w:tcPr>
            <w:tcW w:w="7516" w:type="dxa"/>
          </w:tcPr>
          <w:p>
            <w:pPr>
              <w:pStyle w:val="TableParagraph"/>
              <w:spacing w:before="69"/>
              <w:ind w:left="500"/>
              <w:rPr>
                <w:sz w:val="16"/>
              </w:rPr>
            </w:pPr>
            <w:r>
              <w:rPr>
                <w:sz w:val="16"/>
              </w:rPr>
              <w:t>Otros servicios de traslado y hospedaje</w:t>
            </w:r>
          </w:p>
        </w:tc>
        <w:tc>
          <w:tcPr>
            <w:tcW w:w="3219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1,440,000</w:t>
            </w:r>
          </w:p>
        </w:tc>
      </w:tr>
      <w:tr>
        <w:trPr>
          <w:trHeight w:val="299" w:hRule="atLeast"/>
        </w:trPr>
        <w:tc>
          <w:tcPr>
            <w:tcW w:w="7516" w:type="dxa"/>
          </w:tcPr>
          <w:p>
            <w:pPr>
              <w:pStyle w:val="TableParagraph"/>
              <w:spacing w:before="64"/>
              <w:ind w:left="305"/>
              <w:rPr>
                <w:b/>
                <w:sz w:val="16"/>
              </w:rPr>
            </w:pPr>
            <w:r>
              <w:rPr>
                <w:b/>
                <w:sz w:val="16"/>
              </w:rPr>
              <w:t>Servicios oficiales</w:t>
            </w:r>
          </w:p>
        </w:tc>
        <w:tc>
          <w:tcPr>
            <w:tcW w:w="3219" w:type="dxa"/>
          </w:tcPr>
          <w:p>
            <w:pPr>
              <w:pStyle w:val="TableParagraph"/>
              <w:spacing w:before="50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7,438,209</w:t>
            </w:r>
          </w:p>
        </w:tc>
      </w:tr>
      <w:tr>
        <w:trPr>
          <w:trHeight w:val="304" w:hRule="atLeast"/>
        </w:trPr>
        <w:tc>
          <w:tcPr>
            <w:tcW w:w="7516" w:type="dxa"/>
          </w:tcPr>
          <w:p>
            <w:pPr>
              <w:pStyle w:val="TableParagraph"/>
              <w:spacing w:before="60"/>
              <w:ind w:left="500"/>
              <w:rPr>
                <w:sz w:val="16"/>
              </w:rPr>
            </w:pPr>
            <w:r>
              <w:rPr>
                <w:sz w:val="16"/>
              </w:rPr>
              <w:t>Gastos de orden social y cultural</w:t>
            </w:r>
          </w:p>
        </w:tc>
        <w:tc>
          <w:tcPr>
            <w:tcW w:w="3219" w:type="dxa"/>
          </w:tcPr>
          <w:p>
            <w:pPr>
              <w:pStyle w:val="TableParagraph"/>
              <w:spacing w:before="45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6,847,391</w:t>
            </w:r>
          </w:p>
        </w:tc>
      </w:tr>
      <w:tr>
        <w:trPr>
          <w:trHeight w:val="309" w:hRule="atLeast"/>
        </w:trPr>
        <w:tc>
          <w:tcPr>
            <w:tcW w:w="7516" w:type="dxa"/>
          </w:tcPr>
          <w:p>
            <w:pPr>
              <w:pStyle w:val="TableParagraph"/>
              <w:spacing w:before="69"/>
              <w:ind w:left="500"/>
              <w:rPr>
                <w:sz w:val="16"/>
              </w:rPr>
            </w:pPr>
            <w:r>
              <w:rPr>
                <w:sz w:val="16"/>
              </w:rPr>
              <w:t>Congresos y convenciones</w:t>
            </w:r>
          </w:p>
        </w:tc>
        <w:tc>
          <w:tcPr>
            <w:tcW w:w="3219" w:type="dxa"/>
          </w:tcPr>
          <w:p>
            <w:pPr>
              <w:pStyle w:val="TableParagraph"/>
              <w:spacing w:before="55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590,818</w:t>
            </w:r>
          </w:p>
        </w:tc>
      </w:tr>
      <w:tr>
        <w:trPr>
          <w:trHeight w:val="299" w:hRule="atLeast"/>
        </w:trPr>
        <w:tc>
          <w:tcPr>
            <w:tcW w:w="7516" w:type="dxa"/>
          </w:tcPr>
          <w:p>
            <w:pPr>
              <w:pStyle w:val="TableParagraph"/>
              <w:spacing w:before="64"/>
              <w:ind w:left="305"/>
              <w:rPr>
                <w:b/>
                <w:sz w:val="16"/>
              </w:rPr>
            </w:pPr>
            <w:r>
              <w:rPr>
                <w:b/>
                <w:sz w:val="16"/>
              </w:rPr>
              <w:t>Otros servicios generales</w:t>
            </w:r>
          </w:p>
        </w:tc>
        <w:tc>
          <w:tcPr>
            <w:tcW w:w="3219" w:type="dxa"/>
          </w:tcPr>
          <w:p>
            <w:pPr>
              <w:pStyle w:val="TableParagraph"/>
              <w:spacing w:before="50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90,995,727</w:t>
            </w:r>
          </w:p>
        </w:tc>
      </w:tr>
      <w:tr>
        <w:trPr>
          <w:trHeight w:val="304" w:hRule="atLeast"/>
        </w:trPr>
        <w:tc>
          <w:tcPr>
            <w:tcW w:w="7516" w:type="dxa"/>
          </w:tcPr>
          <w:p>
            <w:pPr>
              <w:pStyle w:val="TableParagraph"/>
              <w:spacing w:before="60"/>
              <w:ind w:left="500"/>
              <w:rPr>
                <w:sz w:val="16"/>
              </w:rPr>
            </w:pPr>
            <w:r>
              <w:rPr>
                <w:sz w:val="16"/>
              </w:rPr>
              <w:t>Impuestos y derechos</w:t>
            </w:r>
          </w:p>
        </w:tc>
        <w:tc>
          <w:tcPr>
            <w:tcW w:w="3219" w:type="dxa"/>
          </w:tcPr>
          <w:p>
            <w:pPr>
              <w:pStyle w:val="TableParagraph"/>
              <w:spacing w:before="45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200,391</w:t>
            </w:r>
          </w:p>
        </w:tc>
      </w:tr>
      <w:tr>
        <w:trPr>
          <w:trHeight w:val="256" w:hRule="atLeast"/>
        </w:trPr>
        <w:tc>
          <w:tcPr>
            <w:tcW w:w="7516" w:type="dxa"/>
          </w:tcPr>
          <w:p>
            <w:pPr>
              <w:pStyle w:val="TableParagraph"/>
              <w:spacing w:line="167" w:lineRule="exact" w:before="70"/>
              <w:ind w:left="500"/>
              <w:rPr>
                <w:sz w:val="16"/>
              </w:rPr>
            </w:pPr>
            <w:r>
              <w:rPr>
                <w:sz w:val="16"/>
              </w:rPr>
              <w:t>Impuesto sobre nóminas y otros que se deriven de una relación</w:t>
            </w:r>
          </w:p>
        </w:tc>
        <w:tc>
          <w:tcPr>
            <w:tcW w:w="3219" w:type="dxa"/>
          </w:tcPr>
          <w:p>
            <w:pPr>
              <w:pStyle w:val="TableParagraph"/>
              <w:spacing w:line="182" w:lineRule="exact"/>
              <w:ind w:right="4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90,795,336</w:t>
            </w:r>
          </w:p>
        </w:tc>
      </w:tr>
      <w:tr>
        <w:trPr>
          <w:trHeight w:val="416" w:hRule="atLeast"/>
        </w:trPr>
        <w:tc>
          <w:tcPr>
            <w:tcW w:w="7516" w:type="dxa"/>
          </w:tcPr>
          <w:p>
            <w:pPr>
              <w:pStyle w:val="TableParagraph"/>
              <w:spacing w:line="181" w:lineRule="exact" w:before="0"/>
              <w:ind w:left="500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  <w:p>
            <w:pPr>
              <w:pStyle w:val="TableParagraph"/>
              <w:spacing w:before="5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Transferencias, asignaciones, subsidios y otras ayudas</w:t>
            </w:r>
          </w:p>
        </w:tc>
        <w:tc>
          <w:tcPr>
            <w:tcW w:w="3219" w:type="dxa"/>
          </w:tcPr>
          <w:p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38,574,387,340</w:t>
            </w:r>
          </w:p>
        </w:tc>
      </w:tr>
      <w:tr>
        <w:trPr>
          <w:trHeight w:val="289" w:hRule="atLeast"/>
        </w:trPr>
        <w:tc>
          <w:tcPr>
            <w:tcW w:w="7516" w:type="dxa"/>
          </w:tcPr>
          <w:p>
            <w:pPr>
              <w:pStyle w:val="TableParagraph"/>
              <w:ind w:left="305"/>
              <w:rPr>
                <w:b/>
                <w:sz w:val="16"/>
              </w:rPr>
            </w:pPr>
            <w:r>
              <w:rPr>
                <w:b/>
                <w:sz w:val="16"/>
              </w:rPr>
              <w:t>Transferencias internas y asignaciones al sector público</w:t>
            </w:r>
          </w:p>
        </w:tc>
        <w:tc>
          <w:tcPr>
            <w:tcW w:w="3219" w:type="dxa"/>
          </w:tcPr>
          <w:p>
            <w:pPr>
              <w:pStyle w:val="TableParagraph"/>
              <w:spacing w:before="40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37,083,413,231</w:t>
            </w:r>
          </w:p>
        </w:tc>
      </w:tr>
      <w:tr>
        <w:trPr>
          <w:trHeight w:val="304" w:hRule="atLeast"/>
        </w:trPr>
        <w:tc>
          <w:tcPr>
            <w:tcW w:w="7516" w:type="dxa"/>
          </w:tcPr>
          <w:p>
            <w:pPr>
              <w:pStyle w:val="TableParagraph"/>
              <w:spacing w:before="60"/>
              <w:ind w:left="500"/>
              <w:rPr>
                <w:sz w:val="16"/>
              </w:rPr>
            </w:pPr>
            <w:r>
              <w:rPr>
                <w:sz w:val="16"/>
              </w:rPr>
              <w:t>Asignaciones presupuestarias al poder ejecutivo</w:t>
            </w:r>
          </w:p>
        </w:tc>
        <w:tc>
          <w:tcPr>
            <w:tcW w:w="3219" w:type="dxa"/>
          </w:tcPr>
          <w:p>
            <w:pPr>
              <w:pStyle w:val="TableParagraph"/>
              <w:spacing w:before="45"/>
              <w:ind w:right="4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1,196,519,836</w:t>
            </w:r>
          </w:p>
        </w:tc>
      </w:tr>
      <w:tr>
        <w:trPr>
          <w:trHeight w:val="254" w:hRule="atLeast"/>
        </w:trPr>
        <w:tc>
          <w:tcPr>
            <w:tcW w:w="7516" w:type="dxa"/>
          </w:tcPr>
          <w:p>
            <w:pPr>
              <w:pStyle w:val="TableParagraph"/>
              <w:spacing w:line="164" w:lineRule="exact" w:before="70"/>
              <w:ind w:left="500"/>
              <w:rPr>
                <w:sz w:val="16"/>
              </w:rPr>
            </w:pPr>
            <w:r>
              <w:rPr>
                <w:sz w:val="16"/>
              </w:rPr>
              <w:t>Asignaciones presupuestarias al poder legislativo</w:t>
            </w:r>
          </w:p>
        </w:tc>
        <w:tc>
          <w:tcPr>
            <w:tcW w:w="3219" w:type="dxa"/>
          </w:tcPr>
          <w:p>
            <w:pPr>
              <w:pStyle w:val="TableParagraph"/>
              <w:spacing w:line="179" w:lineRule="exact"/>
              <w:ind w:right="4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482,971,280</w:t>
            </w:r>
          </w:p>
        </w:tc>
      </w:tr>
    </w:tbl>
    <w:p>
      <w:pPr>
        <w:spacing w:after="0" w:line="179" w:lineRule="exact"/>
        <w:jc w:val="right"/>
        <w:rPr>
          <w:sz w:val="16"/>
        </w:rPr>
        <w:sectPr>
          <w:pgSz w:w="12240" w:h="15840"/>
          <w:pgMar w:header="343" w:footer="0" w:top="2660" w:bottom="280" w:left="740" w:right="540"/>
        </w:sectPr>
      </w:pPr>
    </w:p>
    <w:p>
      <w:pPr>
        <w:pStyle w:val="BodyText"/>
        <w:spacing w:before="10"/>
        <w:ind w:left="0"/>
        <w:jc w:val="left"/>
        <w:rPr>
          <w:rFonts w:ascii="Times New Roman"/>
          <w:sz w:val="2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2"/>
        <w:gridCol w:w="3222"/>
      </w:tblGrid>
      <w:tr>
        <w:trPr>
          <w:trHeight w:val="254" w:hRule="atLeast"/>
        </w:trPr>
        <w:tc>
          <w:tcPr>
            <w:tcW w:w="7512" w:type="dxa"/>
          </w:tcPr>
          <w:p>
            <w:pPr>
              <w:pStyle w:val="TableParagraph"/>
              <w:spacing w:before="10"/>
              <w:ind w:left="500"/>
              <w:rPr>
                <w:sz w:val="16"/>
              </w:rPr>
            </w:pPr>
            <w:r>
              <w:rPr>
                <w:sz w:val="16"/>
              </w:rPr>
              <w:t>Asignaciones presupuestarias al poder judicial</w:t>
            </w:r>
          </w:p>
        </w:tc>
        <w:tc>
          <w:tcPr>
            <w:tcW w:w="3222" w:type="dxa"/>
          </w:tcPr>
          <w:p>
            <w:pPr>
              <w:pStyle w:val="TableParagraph"/>
              <w:spacing w:line="178" w:lineRule="exact" w:before="0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779,512,942</w:t>
            </w:r>
          </w:p>
        </w:tc>
      </w:tr>
      <w:tr>
        <w:trPr>
          <w:trHeight w:val="314" w:hRule="atLeast"/>
        </w:trPr>
        <w:tc>
          <w:tcPr>
            <w:tcW w:w="7512" w:type="dxa"/>
          </w:tcPr>
          <w:p>
            <w:pPr>
              <w:pStyle w:val="TableParagraph"/>
              <w:spacing w:before="70"/>
              <w:ind w:left="500"/>
              <w:rPr>
                <w:sz w:val="16"/>
              </w:rPr>
            </w:pPr>
            <w:r>
              <w:rPr>
                <w:sz w:val="16"/>
              </w:rPr>
              <w:t>Asignaciones presupuestarias a órganos autónomos</w:t>
            </w:r>
          </w:p>
        </w:tc>
        <w:tc>
          <w:tcPr>
            <w:tcW w:w="3222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1,374,331,357</w:t>
            </w:r>
          </w:p>
        </w:tc>
      </w:tr>
      <w:tr>
        <w:trPr>
          <w:trHeight w:val="256" w:hRule="atLeast"/>
        </w:trPr>
        <w:tc>
          <w:tcPr>
            <w:tcW w:w="7512" w:type="dxa"/>
          </w:tcPr>
          <w:p>
            <w:pPr>
              <w:pStyle w:val="TableParagraph"/>
              <w:spacing w:line="167" w:lineRule="exact" w:before="69"/>
              <w:ind w:left="500"/>
              <w:rPr>
                <w:sz w:val="16"/>
              </w:rPr>
            </w:pPr>
            <w:r>
              <w:rPr>
                <w:sz w:val="16"/>
              </w:rPr>
              <w:t>Transferencias internas otorgadas a entidades paraestatales no</w:t>
            </w:r>
          </w:p>
        </w:tc>
        <w:tc>
          <w:tcPr>
            <w:tcW w:w="3222" w:type="dxa"/>
          </w:tcPr>
          <w:p>
            <w:pPr>
              <w:pStyle w:val="TableParagraph"/>
              <w:spacing w:line="182" w:lineRule="exact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33,250,077,816</w:t>
            </w:r>
          </w:p>
        </w:tc>
      </w:tr>
      <w:tr>
        <w:trPr>
          <w:trHeight w:val="435" w:hRule="atLeast"/>
        </w:trPr>
        <w:tc>
          <w:tcPr>
            <w:tcW w:w="7512" w:type="dxa"/>
          </w:tcPr>
          <w:p>
            <w:pPr>
              <w:pStyle w:val="TableParagraph"/>
              <w:spacing w:line="182" w:lineRule="exact" w:before="0"/>
              <w:ind w:left="500"/>
              <w:rPr>
                <w:sz w:val="16"/>
              </w:rPr>
            </w:pPr>
            <w:r>
              <w:rPr>
                <w:sz w:val="16"/>
              </w:rPr>
              <w:t>empresariales y no financieras</w:t>
            </w:r>
          </w:p>
          <w:p>
            <w:pPr>
              <w:pStyle w:val="TableParagraph"/>
              <w:spacing w:before="19"/>
              <w:ind w:left="305"/>
              <w:rPr>
                <w:b/>
                <w:sz w:val="16"/>
              </w:rPr>
            </w:pPr>
            <w:r>
              <w:rPr>
                <w:b/>
                <w:sz w:val="16"/>
              </w:rPr>
              <w:t>Transferencias al resto del sector público</w:t>
            </w:r>
          </w:p>
        </w:tc>
        <w:tc>
          <w:tcPr>
            <w:tcW w:w="3222" w:type="dxa"/>
          </w:tcPr>
          <w:p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369,763,137</w:t>
            </w:r>
          </w:p>
        </w:tc>
      </w:tr>
      <w:tr>
        <w:trPr>
          <w:trHeight w:val="247" w:hRule="atLeast"/>
        </w:trPr>
        <w:tc>
          <w:tcPr>
            <w:tcW w:w="7512" w:type="dxa"/>
          </w:tcPr>
          <w:p>
            <w:pPr>
              <w:pStyle w:val="TableParagraph"/>
              <w:spacing w:line="167" w:lineRule="exact" w:before="60"/>
              <w:ind w:left="500"/>
              <w:rPr>
                <w:sz w:val="16"/>
              </w:rPr>
            </w:pPr>
            <w:r>
              <w:rPr>
                <w:sz w:val="16"/>
              </w:rPr>
              <w:t>Transferencias otorgadas a entidades paraestatales no empresariales</w:t>
            </w:r>
          </w:p>
        </w:tc>
        <w:tc>
          <w:tcPr>
            <w:tcW w:w="3222" w:type="dxa"/>
          </w:tcPr>
          <w:p>
            <w:pPr>
              <w:pStyle w:val="TableParagraph"/>
              <w:spacing w:line="182" w:lineRule="exact" w:before="45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369,763,137</w:t>
            </w:r>
          </w:p>
        </w:tc>
      </w:tr>
      <w:tr>
        <w:trPr>
          <w:trHeight w:val="436" w:hRule="atLeast"/>
        </w:trPr>
        <w:tc>
          <w:tcPr>
            <w:tcW w:w="7512" w:type="dxa"/>
          </w:tcPr>
          <w:p>
            <w:pPr>
              <w:pStyle w:val="TableParagraph"/>
              <w:spacing w:line="182" w:lineRule="exact" w:before="0"/>
              <w:ind w:left="500"/>
              <w:rPr>
                <w:sz w:val="16"/>
              </w:rPr>
            </w:pPr>
            <w:r>
              <w:rPr>
                <w:sz w:val="16"/>
              </w:rPr>
              <w:t>y no financieras</w:t>
            </w:r>
          </w:p>
          <w:p>
            <w:pPr>
              <w:pStyle w:val="TableParagraph"/>
              <w:spacing w:before="20"/>
              <w:ind w:left="305"/>
              <w:rPr>
                <w:b/>
                <w:sz w:val="16"/>
              </w:rPr>
            </w:pPr>
            <w:r>
              <w:rPr>
                <w:b/>
                <w:sz w:val="16"/>
              </w:rPr>
              <w:t>Ayudas sociales</w:t>
            </w:r>
          </w:p>
        </w:tc>
        <w:tc>
          <w:tcPr>
            <w:tcW w:w="3222" w:type="dxa"/>
          </w:tcPr>
          <w:p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7,350,000</w:t>
            </w:r>
          </w:p>
        </w:tc>
      </w:tr>
      <w:tr>
        <w:trPr>
          <w:trHeight w:val="299" w:hRule="atLeast"/>
        </w:trPr>
        <w:tc>
          <w:tcPr>
            <w:tcW w:w="7512" w:type="dxa"/>
          </w:tcPr>
          <w:p>
            <w:pPr>
              <w:pStyle w:val="TableParagraph"/>
              <w:spacing w:before="60"/>
              <w:ind w:left="500"/>
              <w:rPr>
                <w:sz w:val="16"/>
              </w:rPr>
            </w:pPr>
            <w:r>
              <w:rPr>
                <w:sz w:val="16"/>
              </w:rPr>
              <w:t>Ayudas sociales a instituciones sin fines de lucro</w:t>
            </w:r>
          </w:p>
        </w:tc>
        <w:tc>
          <w:tcPr>
            <w:tcW w:w="3222" w:type="dxa"/>
          </w:tcPr>
          <w:p>
            <w:pPr>
              <w:pStyle w:val="TableParagraph"/>
              <w:spacing w:before="45"/>
              <w:ind w:right="46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7,350,000</w:t>
            </w:r>
          </w:p>
        </w:tc>
      </w:tr>
      <w:tr>
        <w:trPr>
          <w:trHeight w:val="299" w:hRule="atLeast"/>
        </w:trPr>
        <w:tc>
          <w:tcPr>
            <w:tcW w:w="7512" w:type="dxa"/>
          </w:tcPr>
          <w:p>
            <w:pPr>
              <w:pStyle w:val="TableParagraph"/>
              <w:spacing w:before="65"/>
              <w:ind w:left="305"/>
              <w:rPr>
                <w:b/>
                <w:sz w:val="16"/>
              </w:rPr>
            </w:pPr>
            <w:r>
              <w:rPr>
                <w:b/>
                <w:sz w:val="16"/>
              </w:rPr>
              <w:t>Pensiones y jubilaciones</w:t>
            </w:r>
          </w:p>
        </w:tc>
        <w:tc>
          <w:tcPr>
            <w:tcW w:w="3222" w:type="dxa"/>
          </w:tcPr>
          <w:p>
            <w:pPr>
              <w:pStyle w:val="TableParagraph"/>
              <w:spacing w:before="49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1,110,860,972</w:t>
            </w:r>
          </w:p>
        </w:tc>
      </w:tr>
      <w:tr>
        <w:trPr>
          <w:trHeight w:val="304" w:hRule="atLeast"/>
        </w:trPr>
        <w:tc>
          <w:tcPr>
            <w:tcW w:w="7512" w:type="dxa"/>
          </w:tcPr>
          <w:p>
            <w:pPr>
              <w:pStyle w:val="TableParagraph"/>
              <w:spacing w:before="60"/>
              <w:ind w:left="500"/>
              <w:rPr>
                <w:sz w:val="16"/>
              </w:rPr>
            </w:pPr>
            <w:r>
              <w:rPr>
                <w:sz w:val="16"/>
              </w:rPr>
              <w:t>Pensiones</w:t>
            </w:r>
          </w:p>
        </w:tc>
        <w:tc>
          <w:tcPr>
            <w:tcW w:w="3222" w:type="dxa"/>
          </w:tcPr>
          <w:p>
            <w:pPr>
              <w:pStyle w:val="TableParagraph"/>
              <w:spacing w:before="45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480,000,000</w:t>
            </w:r>
          </w:p>
        </w:tc>
      </w:tr>
      <w:tr>
        <w:trPr>
          <w:trHeight w:val="308" w:hRule="atLeast"/>
        </w:trPr>
        <w:tc>
          <w:tcPr>
            <w:tcW w:w="7512" w:type="dxa"/>
          </w:tcPr>
          <w:p>
            <w:pPr>
              <w:pStyle w:val="TableParagraph"/>
              <w:spacing w:before="69"/>
              <w:ind w:left="500"/>
              <w:rPr>
                <w:sz w:val="16"/>
              </w:rPr>
            </w:pPr>
            <w:r>
              <w:rPr>
                <w:sz w:val="16"/>
              </w:rPr>
              <w:t>Jubilaciones</w:t>
            </w:r>
          </w:p>
        </w:tc>
        <w:tc>
          <w:tcPr>
            <w:tcW w:w="3222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630,860,972</w:t>
            </w:r>
          </w:p>
        </w:tc>
      </w:tr>
      <w:tr>
        <w:trPr>
          <w:trHeight w:val="300" w:hRule="atLeast"/>
        </w:trPr>
        <w:tc>
          <w:tcPr>
            <w:tcW w:w="7512" w:type="dxa"/>
          </w:tcPr>
          <w:p>
            <w:pPr>
              <w:pStyle w:val="TableParagraph"/>
              <w:spacing w:before="65"/>
              <w:ind w:left="305"/>
              <w:rPr>
                <w:b/>
                <w:sz w:val="16"/>
              </w:rPr>
            </w:pPr>
            <w:r>
              <w:rPr>
                <w:b/>
                <w:sz w:val="16"/>
              </w:rPr>
              <w:t>Donativos</w:t>
            </w:r>
          </w:p>
        </w:tc>
        <w:tc>
          <w:tcPr>
            <w:tcW w:w="3222" w:type="dxa"/>
          </w:tcPr>
          <w:p>
            <w:pPr>
              <w:pStyle w:val="TableParagraph"/>
              <w:spacing w:before="50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3,000,000</w:t>
            </w:r>
          </w:p>
        </w:tc>
      </w:tr>
      <w:tr>
        <w:trPr>
          <w:trHeight w:val="299" w:hRule="atLeast"/>
        </w:trPr>
        <w:tc>
          <w:tcPr>
            <w:tcW w:w="7512" w:type="dxa"/>
          </w:tcPr>
          <w:p>
            <w:pPr>
              <w:pStyle w:val="TableParagraph"/>
              <w:spacing w:before="60"/>
              <w:ind w:left="500"/>
              <w:rPr>
                <w:sz w:val="16"/>
              </w:rPr>
            </w:pPr>
            <w:r>
              <w:rPr>
                <w:sz w:val="16"/>
              </w:rPr>
              <w:t>Donativos a instituciones sin fines de lucro</w:t>
            </w:r>
          </w:p>
        </w:tc>
        <w:tc>
          <w:tcPr>
            <w:tcW w:w="3222" w:type="dxa"/>
          </w:tcPr>
          <w:p>
            <w:pPr>
              <w:pStyle w:val="TableParagraph"/>
              <w:spacing w:before="45"/>
              <w:ind w:right="46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3,000,000</w:t>
            </w:r>
          </w:p>
        </w:tc>
      </w:tr>
      <w:tr>
        <w:trPr>
          <w:trHeight w:val="279" w:hRule="atLeast"/>
        </w:trPr>
        <w:tc>
          <w:tcPr>
            <w:tcW w:w="7512" w:type="dxa"/>
          </w:tcPr>
          <w:p>
            <w:pPr>
              <w:pStyle w:val="TableParagraph"/>
              <w:spacing w:before="4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Inversión pública</w:t>
            </w:r>
          </w:p>
        </w:tc>
        <w:tc>
          <w:tcPr>
            <w:tcW w:w="3222" w:type="dxa"/>
          </w:tcPr>
          <w:p>
            <w:pPr>
              <w:pStyle w:val="TableParagraph"/>
              <w:spacing w:before="49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1,818,101,096</w:t>
            </w:r>
          </w:p>
        </w:tc>
      </w:tr>
      <w:tr>
        <w:trPr>
          <w:trHeight w:val="290" w:hRule="atLeast"/>
        </w:trPr>
        <w:tc>
          <w:tcPr>
            <w:tcW w:w="7512" w:type="dxa"/>
          </w:tcPr>
          <w:p>
            <w:pPr>
              <w:pStyle w:val="TableParagraph"/>
              <w:spacing w:before="56"/>
              <w:ind w:left="305"/>
              <w:rPr>
                <w:b/>
                <w:sz w:val="16"/>
              </w:rPr>
            </w:pPr>
            <w:r>
              <w:rPr>
                <w:b/>
                <w:sz w:val="16"/>
              </w:rPr>
              <w:t>Obra pública en bienes de dominio público</w:t>
            </w:r>
          </w:p>
        </w:tc>
        <w:tc>
          <w:tcPr>
            <w:tcW w:w="3222" w:type="dxa"/>
          </w:tcPr>
          <w:p>
            <w:pPr>
              <w:pStyle w:val="TableParagraph"/>
              <w:spacing w:before="40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769,875,286</w:t>
            </w:r>
          </w:p>
        </w:tc>
      </w:tr>
      <w:tr>
        <w:trPr>
          <w:trHeight w:val="304" w:hRule="atLeast"/>
        </w:trPr>
        <w:tc>
          <w:tcPr>
            <w:tcW w:w="7512" w:type="dxa"/>
          </w:tcPr>
          <w:p>
            <w:pPr>
              <w:pStyle w:val="TableParagraph"/>
              <w:spacing w:before="60"/>
              <w:ind w:left="500"/>
              <w:rPr>
                <w:sz w:val="16"/>
              </w:rPr>
            </w:pPr>
            <w:r>
              <w:rPr>
                <w:sz w:val="16"/>
              </w:rPr>
              <w:t>Edificación no habitacional</w:t>
            </w:r>
          </w:p>
        </w:tc>
        <w:tc>
          <w:tcPr>
            <w:tcW w:w="3222" w:type="dxa"/>
          </w:tcPr>
          <w:p>
            <w:pPr>
              <w:pStyle w:val="TableParagraph"/>
              <w:spacing w:before="45"/>
              <w:ind w:right="46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8,000,000</w:t>
            </w:r>
          </w:p>
        </w:tc>
      </w:tr>
      <w:tr>
        <w:trPr>
          <w:trHeight w:val="313" w:hRule="atLeast"/>
        </w:trPr>
        <w:tc>
          <w:tcPr>
            <w:tcW w:w="7512" w:type="dxa"/>
          </w:tcPr>
          <w:p>
            <w:pPr>
              <w:pStyle w:val="TableParagraph"/>
              <w:spacing w:before="69"/>
              <w:ind w:left="500"/>
              <w:rPr>
                <w:sz w:val="16"/>
              </w:rPr>
            </w:pPr>
            <w:r>
              <w:rPr>
                <w:sz w:val="16"/>
              </w:rPr>
              <w:t>División de terrenos y construcción de obras de urbanización</w:t>
            </w:r>
          </w:p>
        </w:tc>
        <w:tc>
          <w:tcPr>
            <w:tcW w:w="3222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146,850,493</w:t>
            </w:r>
          </w:p>
        </w:tc>
      </w:tr>
      <w:tr>
        <w:trPr>
          <w:trHeight w:val="309" w:hRule="atLeast"/>
        </w:trPr>
        <w:tc>
          <w:tcPr>
            <w:tcW w:w="7512" w:type="dxa"/>
          </w:tcPr>
          <w:p>
            <w:pPr>
              <w:pStyle w:val="TableParagraph"/>
              <w:spacing w:before="69"/>
              <w:ind w:left="500"/>
              <w:rPr>
                <w:sz w:val="16"/>
              </w:rPr>
            </w:pPr>
            <w:r>
              <w:rPr>
                <w:sz w:val="16"/>
              </w:rPr>
              <w:t>Construcción de vías de comunicación</w:t>
            </w:r>
          </w:p>
        </w:tc>
        <w:tc>
          <w:tcPr>
            <w:tcW w:w="3222" w:type="dxa"/>
          </w:tcPr>
          <w:p>
            <w:pPr>
              <w:pStyle w:val="TableParagraph"/>
              <w:spacing w:before="55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615,024,793</w:t>
            </w:r>
          </w:p>
        </w:tc>
      </w:tr>
      <w:tr>
        <w:trPr>
          <w:trHeight w:val="299" w:hRule="atLeast"/>
        </w:trPr>
        <w:tc>
          <w:tcPr>
            <w:tcW w:w="7512" w:type="dxa"/>
          </w:tcPr>
          <w:p>
            <w:pPr>
              <w:pStyle w:val="TableParagraph"/>
              <w:spacing w:before="64"/>
              <w:ind w:left="305"/>
              <w:rPr>
                <w:b/>
                <w:sz w:val="16"/>
              </w:rPr>
            </w:pPr>
            <w:r>
              <w:rPr>
                <w:b/>
                <w:sz w:val="16"/>
              </w:rPr>
              <w:t>Proyectos productivos y acciones de fomento</w:t>
            </w:r>
          </w:p>
        </w:tc>
        <w:tc>
          <w:tcPr>
            <w:tcW w:w="3222" w:type="dxa"/>
          </w:tcPr>
          <w:p>
            <w:pPr>
              <w:pStyle w:val="TableParagraph"/>
              <w:spacing w:before="50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1,048,225,810</w:t>
            </w:r>
          </w:p>
        </w:tc>
      </w:tr>
      <w:tr>
        <w:trPr>
          <w:trHeight w:val="438" w:hRule="atLeast"/>
        </w:trPr>
        <w:tc>
          <w:tcPr>
            <w:tcW w:w="7512" w:type="dxa"/>
          </w:tcPr>
          <w:p>
            <w:pPr>
              <w:pStyle w:val="TableParagraph"/>
              <w:spacing w:line="180" w:lineRule="atLeast" w:before="60"/>
              <w:ind w:left="500" w:right="1900"/>
              <w:rPr>
                <w:sz w:val="16"/>
              </w:rPr>
            </w:pPr>
            <w:r>
              <w:rPr>
                <w:sz w:val="16"/>
              </w:rPr>
              <w:t>Estudios, formulación y evaluación de proyectos productivos no incluidos en conceptos anteriores de este capítulo</w:t>
            </w:r>
          </w:p>
        </w:tc>
        <w:tc>
          <w:tcPr>
            <w:tcW w:w="3222" w:type="dxa"/>
          </w:tcPr>
          <w:p>
            <w:pPr>
              <w:pStyle w:val="TableParagraph"/>
              <w:spacing w:before="45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64,600,000</w:t>
            </w:r>
          </w:p>
        </w:tc>
      </w:tr>
      <w:tr>
        <w:trPr>
          <w:trHeight w:val="206" w:hRule="atLeast"/>
        </w:trPr>
        <w:tc>
          <w:tcPr>
            <w:tcW w:w="7512" w:type="dxa"/>
          </w:tcPr>
          <w:p>
            <w:pPr>
              <w:pStyle w:val="TableParagraph"/>
              <w:spacing w:line="167" w:lineRule="exact" w:before="20"/>
              <w:ind w:left="500"/>
              <w:rPr>
                <w:sz w:val="16"/>
              </w:rPr>
            </w:pPr>
            <w:r>
              <w:rPr>
                <w:sz w:val="16"/>
              </w:rPr>
              <w:t>Ejecución de proyectos productivos no incluidos en conceptos</w:t>
            </w:r>
          </w:p>
        </w:tc>
        <w:tc>
          <w:tcPr>
            <w:tcW w:w="3222" w:type="dxa"/>
          </w:tcPr>
          <w:p>
            <w:pPr>
              <w:pStyle w:val="TableParagraph"/>
              <w:spacing w:line="182" w:lineRule="exact" w:before="4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983,625,810</w:t>
            </w:r>
          </w:p>
        </w:tc>
      </w:tr>
      <w:tr>
        <w:trPr>
          <w:trHeight w:val="416" w:hRule="atLeast"/>
        </w:trPr>
        <w:tc>
          <w:tcPr>
            <w:tcW w:w="7512" w:type="dxa"/>
          </w:tcPr>
          <w:p>
            <w:pPr>
              <w:pStyle w:val="TableParagraph"/>
              <w:spacing w:line="181" w:lineRule="exact" w:before="0"/>
              <w:ind w:left="500"/>
              <w:rPr>
                <w:sz w:val="16"/>
              </w:rPr>
            </w:pPr>
            <w:r>
              <w:rPr>
                <w:sz w:val="16"/>
              </w:rPr>
              <w:t>anteriores de este capítulo</w:t>
            </w:r>
          </w:p>
          <w:p>
            <w:pPr>
              <w:pStyle w:val="TableParagraph"/>
              <w:spacing w:before="5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Inversiones financieras y otras provisiones</w:t>
            </w:r>
          </w:p>
        </w:tc>
        <w:tc>
          <w:tcPr>
            <w:tcW w:w="3222" w:type="dxa"/>
          </w:tcPr>
          <w:p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84,318,417</w:t>
            </w:r>
          </w:p>
        </w:tc>
      </w:tr>
      <w:tr>
        <w:trPr>
          <w:trHeight w:val="289" w:hRule="atLeast"/>
        </w:trPr>
        <w:tc>
          <w:tcPr>
            <w:tcW w:w="7512" w:type="dxa"/>
          </w:tcPr>
          <w:p>
            <w:pPr>
              <w:pStyle w:val="TableParagraph"/>
              <w:ind w:left="305"/>
              <w:rPr>
                <w:b/>
                <w:sz w:val="16"/>
              </w:rPr>
            </w:pPr>
            <w:r>
              <w:rPr>
                <w:b/>
                <w:sz w:val="16"/>
              </w:rPr>
              <w:t>Inversiones en fideicomisos, mandatos y otros análogos</w:t>
            </w:r>
          </w:p>
        </w:tc>
        <w:tc>
          <w:tcPr>
            <w:tcW w:w="3222" w:type="dxa"/>
          </w:tcPr>
          <w:p>
            <w:pPr>
              <w:pStyle w:val="TableParagraph"/>
              <w:spacing w:before="40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84,318,417</w:t>
            </w:r>
          </w:p>
        </w:tc>
      </w:tr>
      <w:tr>
        <w:trPr>
          <w:trHeight w:val="246" w:hRule="atLeast"/>
        </w:trPr>
        <w:tc>
          <w:tcPr>
            <w:tcW w:w="7512" w:type="dxa"/>
          </w:tcPr>
          <w:p>
            <w:pPr>
              <w:pStyle w:val="TableParagraph"/>
              <w:spacing w:line="167" w:lineRule="exact" w:before="60"/>
              <w:ind w:left="500"/>
              <w:rPr>
                <w:sz w:val="16"/>
              </w:rPr>
            </w:pPr>
            <w:r>
              <w:rPr>
                <w:sz w:val="16"/>
              </w:rPr>
              <w:t>Inversiones en fideicomisos públicos no empresariales y no</w:t>
            </w:r>
          </w:p>
        </w:tc>
        <w:tc>
          <w:tcPr>
            <w:tcW w:w="3222" w:type="dxa"/>
          </w:tcPr>
          <w:p>
            <w:pPr>
              <w:pStyle w:val="TableParagraph"/>
              <w:spacing w:line="181" w:lineRule="exact" w:before="45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84,318,417</w:t>
            </w:r>
          </w:p>
        </w:tc>
      </w:tr>
      <w:tr>
        <w:trPr>
          <w:trHeight w:val="416" w:hRule="atLeast"/>
        </w:trPr>
        <w:tc>
          <w:tcPr>
            <w:tcW w:w="7512" w:type="dxa"/>
          </w:tcPr>
          <w:p>
            <w:pPr>
              <w:pStyle w:val="TableParagraph"/>
              <w:spacing w:line="181" w:lineRule="exact" w:before="0"/>
              <w:ind w:left="500"/>
              <w:rPr>
                <w:sz w:val="16"/>
              </w:rPr>
            </w:pPr>
            <w:r>
              <w:rPr>
                <w:sz w:val="16"/>
              </w:rPr>
              <w:t>financieros</w:t>
            </w:r>
          </w:p>
          <w:p>
            <w:pPr>
              <w:pStyle w:val="TableParagraph"/>
              <w:spacing w:before="5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Participaciones y aportaciones</w:t>
            </w:r>
          </w:p>
        </w:tc>
        <w:tc>
          <w:tcPr>
            <w:tcW w:w="3222" w:type="dxa"/>
          </w:tcPr>
          <w:p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8,844,394,472</w:t>
            </w:r>
          </w:p>
        </w:tc>
      </w:tr>
      <w:tr>
        <w:trPr>
          <w:trHeight w:val="289" w:hRule="atLeast"/>
        </w:trPr>
        <w:tc>
          <w:tcPr>
            <w:tcW w:w="7512" w:type="dxa"/>
          </w:tcPr>
          <w:p>
            <w:pPr>
              <w:pStyle w:val="TableParagraph"/>
              <w:ind w:left="305"/>
              <w:rPr>
                <w:b/>
                <w:sz w:val="16"/>
              </w:rPr>
            </w:pPr>
            <w:r>
              <w:rPr>
                <w:b/>
                <w:sz w:val="16"/>
              </w:rPr>
              <w:t>Participaciones</w:t>
            </w:r>
          </w:p>
        </w:tc>
        <w:tc>
          <w:tcPr>
            <w:tcW w:w="3222" w:type="dxa"/>
          </w:tcPr>
          <w:p>
            <w:pPr>
              <w:pStyle w:val="TableParagraph"/>
              <w:spacing w:before="40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5,518,339,976</w:t>
            </w:r>
          </w:p>
        </w:tc>
      </w:tr>
      <w:tr>
        <w:trPr>
          <w:trHeight w:val="304" w:hRule="atLeast"/>
        </w:trPr>
        <w:tc>
          <w:tcPr>
            <w:tcW w:w="7512" w:type="dxa"/>
          </w:tcPr>
          <w:p>
            <w:pPr>
              <w:pStyle w:val="TableParagraph"/>
              <w:spacing w:before="60"/>
              <w:ind w:left="500"/>
              <w:rPr>
                <w:sz w:val="16"/>
              </w:rPr>
            </w:pPr>
            <w:r>
              <w:rPr>
                <w:sz w:val="16"/>
              </w:rPr>
              <w:t>Fondo general de participaciones</w:t>
            </w:r>
          </w:p>
        </w:tc>
        <w:tc>
          <w:tcPr>
            <w:tcW w:w="3222" w:type="dxa"/>
          </w:tcPr>
          <w:p>
            <w:pPr>
              <w:pStyle w:val="TableParagraph"/>
              <w:spacing w:before="45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3,653,860,706</w:t>
            </w:r>
          </w:p>
        </w:tc>
      </w:tr>
      <w:tr>
        <w:trPr>
          <w:trHeight w:val="314" w:hRule="atLeast"/>
        </w:trPr>
        <w:tc>
          <w:tcPr>
            <w:tcW w:w="7512" w:type="dxa"/>
          </w:tcPr>
          <w:p>
            <w:pPr>
              <w:pStyle w:val="TableParagraph"/>
              <w:spacing w:before="70"/>
              <w:ind w:left="500"/>
              <w:rPr>
                <w:sz w:val="16"/>
              </w:rPr>
            </w:pPr>
            <w:r>
              <w:rPr>
                <w:sz w:val="16"/>
              </w:rPr>
              <w:t>Fondo de fomento municipal</w:t>
            </w:r>
          </w:p>
        </w:tc>
        <w:tc>
          <w:tcPr>
            <w:tcW w:w="3222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802,332,259</w:t>
            </w:r>
          </w:p>
        </w:tc>
      </w:tr>
      <w:tr>
        <w:trPr>
          <w:trHeight w:val="314" w:hRule="atLeast"/>
        </w:trPr>
        <w:tc>
          <w:tcPr>
            <w:tcW w:w="7512" w:type="dxa"/>
          </w:tcPr>
          <w:p>
            <w:pPr>
              <w:pStyle w:val="TableParagraph"/>
              <w:spacing w:before="70"/>
              <w:ind w:left="500"/>
              <w:rPr>
                <w:sz w:val="16"/>
              </w:rPr>
            </w:pPr>
            <w:r>
              <w:rPr>
                <w:sz w:val="16"/>
              </w:rPr>
              <w:t>Participaciones de las entidades federativas a los municipios</w:t>
            </w:r>
          </w:p>
        </w:tc>
        <w:tc>
          <w:tcPr>
            <w:tcW w:w="3222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761,470,631</w:t>
            </w:r>
          </w:p>
        </w:tc>
      </w:tr>
      <w:tr>
        <w:trPr>
          <w:trHeight w:val="308" w:hRule="atLeast"/>
        </w:trPr>
        <w:tc>
          <w:tcPr>
            <w:tcW w:w="7512" w:type="dxa"/>
          </w:tcPr>
          <w:p>
            <w:pPr>
              <w:pStyle w:val="TableParagraph"/>
              <w:spacing w:before="69"/>
              <w:ind w:left="500"/>
              <w:rPr>
                <w:sz w:val="16"/>
              </w:rPr>
            </w:pPr>
            <w:r>
              <w:rPr>
                <w:sz w:val="16"/>
              </w:rPr>
              <w:t>Otros conceptos participables de la federación a municipios</w:t>
            </w:r>
          </w:p>
        </w:tc>
        <w:tc>
          <w:tcPr>
            <w:tcW w:w="3222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300,676,380</w:t>
            </w:r>
          </w:p>
        </w:tc>
      </w:tr>
      <w:tr>
        <w:trPr>
          <w:trHeight w:val="299" w:hRule="atLeast"/>
        </w:trPr>
        <w:tc>
          <w:tcPr>
            <w:tcW w:w="7512" w:type="dxa"/>
          </w:tcPr>
          <w:p>
            <w:pPr>
              <w:pStyle w:val="TableParagraph"/>
              <w:spacing w:before="64"/>
              <w:ind w:left="305"/>
              <w:rPr>
                <w:b/>
                <w:sz w:val="16"/>
              </w:rPr>
            </w:pPr>
            <w:r>
              <w:rPr>
                <w:b/>
                <w:sz w:val="16"/>
              </w:rPr>
              <w:t>Aportaciones</w:t>
            </w:r>
          </w:p>
        </w:tc>
        <w:tc>
          <w:tcPr>
            <w:tcW w:w="3222" w:type="dxa"/>
          </w:tcPr>
          <w:p>
            <w:pPr>
              <w:pStyle w:val="TableParagraph"/>
              <w:spacing w:before="50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3,321,329,353</w:t>
            </w:r>
          </w:p>
        </w:tc>
      </w:tr>
      <w:tr>
        <w:trPr>
          <w:trHeight w:val="299" w:hRule="atLeast"/>
        </w:trPr>
        <w:tc>
          <w:tcPr>
            <w:tcW w:w="7512" w:type="dxa"/>
          </w:tcPr>
          <w:p>
            <w:pPr>
              <w:pStyle w:val="TableParagraph"/>
              <w:spacing w:before="60"/>
              <w:ind w:left="500"/>
              <w:rPr>
                <w:sz w:val="16"/>
              </w:rPr>
            </w:pPr>
            <w:r>
              <w:rPr>
                <w:sz w:val="16"/>
              </w:rPr>
              <w:t>Aportaciones de la federación a municipios</w:t>
            </w:r>
          </w:p>
        </w:tc>
        <w:tc>
          <w:tcPr>
            <w:tcW w:w="3222" w:type="dxa"/>
          </w:tcPr>
          <w:p>
            <w:pPr>
              <w:pStyle w:val="TableParagraph"/>
              <w:spacing w:before="45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3,321,329,353</w:t>
            </w:r>
          </w:p>
        </w:tc>
      </w:tr>
      <w:tr>
        <w:trPr>
          <w:trHeight w:val="300" w:hRule="atLeast"/>
        </w:trPr>
        <w:tc>
          <w:tcPr>
            <w:tcW w:w="7512" w:type="dxa"/>
          </w:tcPr>
          <w:p>
            <w:pPr>
              <w:pStyle w:val="TableParagraph"/>
              <w:spacing w:before="65"/>
              <w:ind w:left="305"/>
              <w:rPr>
                <w:b/>
                <w:sz w:val="16"/>
              </w:rPr>
            </w:pPr>
            <w:r>
              <w:rPr>
                <w:b/>
                <w:sz w:val="16"/>
              </w:rPr>
              <w:t>Convenios</w:t>
            </w:r>
          </w:p>
        </w:tc>
        <w:tc>
          <w:tcPr>
            <w:tcW w:w="3222" w:type="dxa"/>
          </w:tcPr>
          <w:p>
            <w:pPr>
              <w:pStyle w:val="TableParagraph"/>
              <w:spacing w:before="50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4,725,143</w:t>
            </w:r>
          </w:p>
        </w:tc>
      </w:tr>
      <w:tr>
        <w:trPr>
          <w:trHeight w:val="299" w:hRule="atLeast"/>
        </w:trPr>
        <w:tc>
          <w:tcPr>
            <w:tcW w:w="7512" w:type="dxa"/>
          </w:tcPr>
          <w:p>
            <w:pPr>
              <w:pStyle w:val="TableParagraph"/>
              <w:spacing w:before="60"/>
              <w:ind w:left="500"/>
              <w:rPr>
                <w:sz w:val="16"/>
              </w:rPr>
            </w:pPr>
            <w:r>
              <w:rPr>
                <w:sz w:val="16"/>
              </w:rPr>
              <w:t>Otros convenios</w:t>
            </w:r>
          </w:p>
        </w:tc>
        <w:tc>
          <w:tcPr>
            <w:tcW w:w="3222" w:type="dxa"/>
          </w:tcPr>
          <w:p>
            <w:pPr>
              <w:pStyle w:val="TableParagraph"/>
              <w:spacing w:before="45"/>
              <w:ind w:right="46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4,725,143</w:t>
            </w:r>
          </w:p>
        </w:tc>
      </w:tr>
      <w:tr>
        <w:trPr>
          <w:trHeight w:val="279" w:hRule="atLeast"/>
        </w:trPr>
        <w:tc>
          <w:tcPr>
            <w:tcW w:w="7512" w:type="dxa"/>
          </w:tcPr>
          <w:p>
            <w:pPr>
              <w:pStyle w:val="TableParagraph"/>
              <w:spacing w:before="4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Deuda pública</w:t>
            </w:r>
          </w:p>
        </w:tc>
        <w:tc>
          <w:tcPr>
            <w:tcW w:w="3222" w:type="dxa"/>
          </w:tcPr>
          <w:p>
            <w:pPr>
              <w:pStyle w:val="TableParagraph"/>
              <w:spacing w:before="49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567,493,671</w:t>
            </w:r>
          </w:p>
        </w:tc>
      </w:tr>
      <w:tr>
        <w:trPr>
          <w:trHeight w:val="290" w:hRule="atLeast"/>
        </w:trPr>
        <w:tc>
          <w:tcPr>
            <w:tcW w:w="7512" w:type="dxa"/>
          </w:tcPr>
          <w:p>
            <w:pPr>
              <w:pStyle w:val="TableParagraph"/>
              <w:spacing w:before="56"/>
              <w:ind w:left="305"/>
              <w:rPr>
                <w:b/>
                <w:sz w:val="16"/>
              </w:rPr>
            </w:pPr>
            <w:r>
              <w:rPr>
                <w:b/>
                <w:sz w:val="16"/>
              </w:rPr>
              <w:t>Amortización de la deuda pública</w:t>
            </w:r>
          </w:p>
        </w:tc>
        <w:tc>
          <w:tcPr>
            <w:tcW w:w="3222" w:type="dxa"/>
          </w:tcPr>
          <w:p>
            <w:pPr>
              <w:pStyle w:val="TableParagraph"/>
              <w:spacing w:before="40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223,207,525</w:t>
            </w:r>
          </w:p>
        </w:tc>
      </w:tr>
      <w:tr>
        <w:trPr>
          <w:trHeight w:val="299" w:hRule="atLeast"/>
        </w:trPr>
        <w:tc>
          <w:tcPr>
            <w:tcW w:w="7512" w:type="dxa"/>
          </w:tcPr>
          <w:p>
            <w:pPr>
              <w:pStyle w:val="TableParagraph"/>
              <w:spacing w:before="60"/>
              <w:ind w:left="500"/>
              <w:rPr>
                <w:sz w:val="16"/>
              </w:rPr>
            </w:pPr>
            <w:r>
              <w:rPr>
                <w:sz w:val="16"/>
              </w:rPr>
              <w:t>Amortización de la deuda interna con instituciones de crédito</w:t>
            </w:r>
          </w:p>
        </w:tc>
        <w:tc>
          <w:tcPr>
            <w:tcW w:w="3222" w:type="dxa"/>
          </w:tcPr>
          <w:p>
            <w:pPr>
              <w:pStyle w:val="TableParagraph"/>
              <w:spacing w:before="45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223,207,525</w:t>
            </w:r>
          </w:p>
        </w:tc>
      </w:tr>
      <w:tr>
        <w:trPr>
          <w:trHeight w:val="299" w:hRule="atLeast"/>
        </w:trPr>
        <w:tc>
          <w:tcPr>
            <w:tcW w:w="7512" w:type="dxa"/>
          </w:tcPr>
          <w:p>
            <w:pPr>
              <w:pStyle w:val="TableParagraph"/>
              <w:spacing w:before="65"/>
              <w:ind w:left="305"/>
              <w:rPr>
                <w:b/>
                <w:sz w:val="16"/>
              </w:rPr>
            </w:pPr>
            <w:r>
              <w:rPr>
                <w:b/>
                <w:sz w:val="16"/>
              </w:rPr>
              <w:t>Intereses de la deuda pública</w:t>
            </w:r>
          </w:p>
        </w:tc>
        <w:tc>
          <w:tcPr>
            <w:tcW w:w="3222" w:type="dxa"/>
          </w:tcPr>
          <w:p>
            <w:pPr>
              <w:pStyle w:val="TableParagraph"/>
              <w:spacing w:before="49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344,286,146</w:t>
            </w:r>
          </w:p>
        </w:tc>
      </w:tr>
      <w:tr>
        <w:trPr>
          <w:trHeight w:val="244" w:hRule="atLeast"/>
        </w:trPr>
        <w:tc>
          <w:tcPr>
            <w:tcW w:w="7512" w:type="dxa"/>
          </w:tcPr>
          <w:p>
            <w:pPr>
              <w:pStyle w:val="TableParagraph"/>
              <w:spacing w:line="164" w:lineRule="exact" w:before="60"/>
              <w:ind w:left="500"/>
              <w:rPr>
                <w:sz w:val="16"/>
              </w:rPr>
            </w:pPr>
            <w:r>
              <w:rPr>
                <w:sz w:val="16"/>
              </w:rPr>
              <w:t>Intereses de la deuda interna con instituciones de crédito</w:t>
            </w:r>
          </w:p>
        </w:tc>
        <w:tc>
          <w:tcPr>
            <w:tcW w:w="3222" w:type="dxa"/>
          </w:tcPr>
          <w:p>
            <w:pPr>
              <w:pStyle w:val="TableParagraph"/>
              <w:spacing w:line="179" w:lineRule="exact" w:before="45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344,286,146</w:t>
            </w:r>
          </w:p>
        </w:tc>
      </w:tr>
    </w:tbl>
    <w:sectPr>
      <w:pgSz w:w="12240" w:h="15840"/>
      <w:pgMar w:header="343" w:footer="0" w:top="2660" w:bottom="280" w:left="74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jc w:val="left"/>
      <w:rPr>
        <w:sz w:val="20"/>
      </w:rPr>
    </w:pPr>
    <w:r>
      <w:rPr/>
      <w:drawing>
        <wp:anchor distT="0" distB="0" distL="0" distR="0" allowOverlap="1" layoutInCell="1" locked="0" behindDoc="1" simplePos="0" relativeHeight="268414991">
          <wp:simplePos x="0" y="0"/>
          <wp:positionH relativeFrom="page">
            <wp:posOffset>512063</wp:posOffset>
          </wp:positionH>
          <wp:positionV relativeFrom="page">
            <wp:posOffset>217931</wp:posOffset>
          </wp:positionV>
          <wp:extent cx="581405" cy="954023"/>
          <wp:effectExtent l="0" t="0" r="0" b="0"/>
          <wp:wrapNone/>
          <wp:docPr id="1" name="image1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1405" cy="9540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rect style="position:absolute;margin-left:33.540001pt;margin-top:99.660004pt;width:557.76pt;height:34.26pt;mso-position-horizontal-relative:page;mso-position-vertical-relative:page;z-index:-20440" filled="true" fillcolor="#5a2034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3.160004pt;margin-top:59.003658pt;width:224.4pt;height:36.35pt;mso-position-horizontal-relative:page;mso-position-vertical-relative:page;z-index:-2041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Anexo 12</w:t>
                </w:r>
              </w:p>
              <w:p>
                <w:pPr>
                  <w:spacing w:before="53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Clasificador por Objeto del Gasto</w:t>
                </w:r>
              </w:p>
            </w:txbxContent>
          </v:textbox>
          <w10:wrap type="none"/>
        </v:shape>
      </w:pict>
    </w:r>
    <w:r>
      <w:rPr/>
      <w:pict>
        <v:shape style="position:absolute;margin-left:46.880001pt;margin-top:110.732536pt;width:141.050pt;height:12.1pt;mso-position-horizontal-relative:page;mso-position-vertical-relative:page;z-index:-2039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z w:val="18"/>
                  </w:rPr>
                  <w:t>Clasificador por objeto de Gasto</w:t>
                </w:r>
              </w:p>
            </w:txbxContent>
          </v:textbox>
          <w10:wrap type="none"/>
        </v:shape>
      </w:pict>
    </w:r>
    <w:r>
      <w:rPr/>
      <w:pict>
        <v:shape style="position:absolute;margin-left:548.600281pt;margin-top:110.732536pt;width:29pt;height:12.1pt;mso-position-horizontal-relative:page;mso-position-vertical-relative:page;z-index:-2036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z w:val="18"/>
                  </w:rPr>
                  <w:t>Monto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120"/>
      <w:ind w:left="440"/>
      <w:jc w:val="center"/>
    </w:pPr>
    <w:rPr>
      <w:rFonts w:ascii="Arial" w:hAnsi="Arial" w:eastAsia="Arial" w:cs="Arial"/>
      <w:sz w:val="16"/>
      <w:szCs w:val="16"/>
    </w:rPr>
  </w:style>
  <w:style w:styleId="Heading1" w:type="paragraph">
    <w:name w:val="Heading 1"/>
    <w:basedOn w:val="Normal"/>
    <w:uiPriority w:val="1"/>
    <w:qFormat/>
    <w:pPr>
      <w:spacing w:before="109"/>
      <w:ind w:left="244"/>
      <w:jc w:val="center"/>
      <w:outlineLvl w:val="1"/>
    </w:pPr>
    <w:rPr>
      <w:rFonts w:ascii="Arial" w:hAnsi="Arial" w:eastAsia="Arial" w:cs="Arial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54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</dc:creator>
  <dc:title>Crystal Reports - rpt_aut_cong_clasificador_x_objeto_gasto_14_img_18</dc:title>
  <dcterms:created xsi:type="dcterms:W3CDTF">2022-01-21T21:06:39Z</dcterms:created>
  <dcterms:modified xsi:type="dcterms:W3CDTF">2022-01-21T21:06:39Z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2022-01-21T00:00:00Z</vt:filetime>
  </property>
</Properties>
</file>