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rPr>
          <w:rFonts w:ascii="Times New Roman"/>
          <w:b w:val="0"/>
          <w:sz w:val="20"/>
        </w:rPr>
      </w:pPr>
    </w:p>
    <w:p>
      <w:pPr>
        <w:pStyle w:val="BodyText"/>
        <w:spacing w:before="1"/>
        <w:rPr>
          <w:rFonts w:ascii="Times New Roman"/>
          <w:b w:val="0"/>
          <w:sz w:val="26"/>
        </w:rPr>
      </w:pPr>
    </w:p>
    <w:p>
      <w:pPr>
        <w:pStyle w:val="BodyText"/>
        <w:spacing w:before="90"/>
        <w:ind w:left="1523"/>
      </w:pPr>
      <w:r>
        <w:rPr/>
        <w:drawing>
          <wp:anchor distT="0" distB="0" distL="0" distR="0" allowOverlap="1" layoutInCell="1" locked="0" behindDoc="0" simplePos="0" relativeHeight="0">
            <wp:simplePos x="0" y="0"/>
            <wp:positionH relativeFrom="page">
              <wp:posOffset>512826</wp:posOffset>
            </wp:positionH>
            <wp:positionV relativeFrom="paragraph">
              <wp:posOffset>-480917</wp:posOffset>
            </wp:positionV>
            <wp:extent cx="581405" cy="954023"/>
            <wp:effectExtent l="0" t="0" r="0" b="0"/>
            <wp:wrapNone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1405" cy="9540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Anexo 5</w:t>
      </w:r>
    </w:p>
    <w:p>
      <w:pPr>
        <w:pStyle w:val="BodyText"/>
        <w:spacing w:before="53"/>
        <w:ind w:left="1523"/>
      </w:pPr>
      <w:r>
        <w:rPr/>
        <w:t>Asignación a Órganos Autónomos</w:t>
      </w:r>
    </w:p>
    <w:p>
      <w:pPr>
        <w:spacing w:line="240" w:lineRule="auto" w:before="2" w:after="1"/>
        <w:rPr>
          <w:b/>
          <w:sz w:val="9"/>
        </w:rPr>
      </w:pPr>
    </w:p>
    <w:tbl>
      <w:tblPr>
        <w:tblW w:w="0" w:type="auto"/>
        <w:jc w:val="left"/>
        <w:tblInd w:w="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232"/>
        <w:gridCol w:w="2953"/>
        <w:gridCol w:w="3970"/>
      </w:tblGrid>
      <w:tr>
        <w:trPr>
          <w:trHeight w:val="685" w:hRule="atLeast"/>
        </w:trPr>
        <w:tc>
          <w:tcPr>
            <w:tcW w:w="4232" w:type="dxa"/>
            <w:shd w:val="clear" w:color="auto" w:fill="5A2034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left="182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Denominación</w:t>
            </w:r>
          </w:p>
        </w:tc>
        <w:tc>
          <w:tcPr>
            <w:tcW w:w="2953" w:type="dxa"/>
            <w:shd w:val="clear" w:color="auto" w:fill="5A2034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0" w:type="dxa"/>
            <w:shd w:val="clear" w:color="auto" w:fill="5A2034"/>
          </w:tcPr>
          <w:p>
            <w:pPr>
              <w:pStyle w:val="TableParagraph"/>
              <w:spacing w:before="10"/>
              <w:rPr>
                <w:b/>
                <w:sz w:val="17"/>
              </w:rPr>
            </w:pPr>
          </w:p>
          <w:p>
            <w:pPr>
              <w:pStyle w:val="TableParagraph"/>
              <w:ind w:right="292"/>
              <w:jc w:val="right"/>
              <w:rPr>
                <w:b/>
                <w:sz w:val="18"/>
              </w:rPr>
            </w:pPr>
            <w:r>
              <w:rPr>
                <w:b/>
                <w:color w:val="FFFFFF"/>
                <w:sz w:val="18"/>
              </w:rPr>
              <w:t>Monto</w:t>
            </w:r>
          </w:p>
        </w:tc>
      </w:tr>
      <w:tr>
        <w:trPr>
          <w:trHeight w:val="423" w:hRule="atLeast"/>
        </w:trPr>
        <w:tc>
          <w:tcPr>
            <w:tcW w:w="4232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953" w:type="dxa"/>
          </w:tcPr>
          <w:p>
            <w:pPr>
              <w:pStyle w:val="TableParagraph"/>
              <w:spacing w:before="128"/>
              <w:ind w:left="5"/>
              <w:rPr>
                <w:b/>
                <w:sz w:val="16"/>
              </w:rPr>
            </w:pPr>
            <w:r>
              <w:rPr>
                <w:b/>
                <w:sz w:val="16"/>
              </w:rPr>
              <w:t>Total</w:t>
            </w:r>
          </w:p>
        </w:tc>
        <w:tc>
          <w:tcPr>
            <w:tcW w:w="3970" w:type="dxa"/>
          </w:tcPr>
          <w:p>
            <w:pPr>
              <w:pStyle w:val="TableParagraph"/>
              <w:spacing w:before="127"/>
              <w:ind w:right="291"/>
              <w:jc w:val="right"/>
              <w:rPr>
                <w:b/>
                <w:sz w:val="16"/>
              </w:rPr>
            </w:pPr>
            <w:r>
              <w:rPr>
                <w:b/>
                <w:w w:val="95"/>
                <w:sz w:val="16"/>
              </w:rPr>
              <w:t>$1,364,416,178</w:t>
            </w:r>
          </w:p>
        </w:tc>
      </w:tr>
      <w:tr>
        <w:trPr>
          <w:trHeight w:val="462" w:hRule="atLeast"/>
        </w:trPr>
        <w:tc>
          <w:tcPr>
            <w:tcW w:w="4232" w:type="dxa"/>
          </w:tcPr>
          <w:p>
            <w:pPr>
              <w:pStyle w:val="TableParagraph"/>
              <w:spacing w:before="105"/>
              <w:ind w:left="182"/>
              <w:rPr>
                <w:sz w:val="16"/>
              </w:rPr>
            </w:pPr>
            <w:r>
              <w:rPr>
                <w:sz w:val="16"/>
              </w:rPr>
              <w:t>Comisión Estatal de Derechos Humanos</w:t>
            </w:r>
          </w:p>
        </w:tc>
        <w:tc>
          <w:tcPr>
            <w:tcW w:w="29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before="114"/>
              <w:ind w:right="29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41,948,496</w:t>
            </w:r>
          </w:p>
        </w:tc>
      </w:tr>
      <w:tr>
        <w:trPr>
          <w:trHeight w:val="516" w:hRule="atLeast"/>
        </w:trPr>
        <w:tc>
          <w:tcPr>
            <w:tcW w:w="4232" w:type="dxa"/>
          </w:tcPr>
          <w:p>
            <w:pPr>
              <w:pStyle w:val="TableParagraph"/>
              <w:spacing w:before="159"/>
              <w:ind w:left="182"/>
              <w:rPr>
                <w:sz w:val="16"/>
              </w:rPr>
            </w:pPr>
            <w:r>
              <w:rPr>
                <w:sz w:val="16"/>
              </w:rPr>
              <w:t>Tribunal de Justicia Administrativa del Estado de Sinaloa</w:t>
            </w:r>
          </w:p>
        </w:tc>
        <w:tc>
          <w:tcPr>
            <w:tcW w:w="29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103,505,878</w:t>
            </w:r>
          </w:p>
        </w:tc>
      </w:tr>
      <w:tr>
        <w:trPr>
          <w:trHeight w:val="516" w:hRule="atLeast"/>
        </w:trPr>
        <w:tc>
          <w:tcPr>
            <w:tcW w:w="4232" w:type="dxa"/>
          </w:tcPr>
          <w:p>
            <w:pPr>
              <w:pStyle w:val="TableParagraph"/>
              <w:spacing w:before="159"/>
              <w:ind w:left="182"/>
              <w:rPr>
                <w:sz w:val="16"/>
              </w:rPr>
            </w:pPr>
            <w:r>
              <w:rPr>
                <w:sz w:val="16"/>
              </w:rPr>
              <w:t>Comisión Estatal para el Acceso a la Información</w:t>
            </w:r>
            <w:r>
              <w:rPr>
                <w:spacing w:val="-28"/>
                <w:sz w:val="16"/>
              </w:rPr>
              <w:t> </w:t>
            </w:r>
            <w:r>
              <w:rPr>
                <w:sz w:val="16"/>
              </w:rPr>
              <w:t>Pública</w:t>
            </w:r>
          </w:p>
        </w:tc>
        <w:tc>
          <w:tcPr>
            <w:tcW w:w="29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34,624,094</w:t>
            </w:r>
          </w:p>
        </w:tc>
      </w:tr>
      <w:tr>
        <w:trPr>
          <w:trHeight w:val="516" w:hRule="atLeast"/>
        </w:trPr>
        <w:tc>
          <w:tcPr>
            <w:tcW w:w="4232" w:type="dxa"/>
          </w:tcPr>
          <w:p>
            <w:pPr>
              <w:pStyle w:val="TableParagraph"/>
              <w:spacing w:before="159"/>
              <w:ind w:left="182"/>
              <w:rPr>
                <w:sz w:val="16"/>
              </w:rPr>
            </w:pPr>
            <w:r>
              <w:rPr>
                <w:sz w:val="16"/>
              </w:rPr>
              <w:t>Fiscalía General del Estado</w:t>
            </w:r>
          </w:p>
        </w:tc>
        <w:tc>
          <w:tcPr>
            <w:tcW w:w="29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911,798,017</w:t>
            </w:r>
          </w:p>
        </w:tc>
      </w:tr>
      <w:tr>
        <w:trPr>
          <w:trHeight w:val="508" w:hRule="atLeast"/>
        </w:trPr>
        <w:tc>
          <w:tcPr>
            <w:tcW w:w="4232" w:type="dxa"/>
          </w:tcPr>
          <w:p>
            <w:pPr>
              <w:pStyle w:val="TableParagraph"/>
              <w:spacing w:before="159"/>
              <w:ind w:left="182"/>
              <w:rPr>
                <w:sz w:val="16"/>
              </w:rPr>
            </w:pPr>
            <w:r>
              <w:rPr>
                <w:sz w:val="16"/>
              </w:rPr>
              <w:t>Financiamiento Público a Partidos Políticos</w:t>
            </w:r>
          </w:p>
        </w:tc>
        <w:tc>
          <w:tcPr>
            <w:tcW w:w="29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before="6"/>
              <w:rPr>
                <w:b/>
                <w:sz w:val="14"/>
              </w:rPr>
            </w:pPr>
          </w:p>
          <w:p>
            <w:pPr>
              <w:pStyle w:val="TableParagraph"/>
              <w:ind w:right="29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135,948,922</w:t>
            </w:r>
          </w:p>
        </w:tc>
      </w:tr>
      <w:tr>
        <w:trPr>
          <w:trHeight w:val="475" w:hRule="atLeast"/>
        </w:trPr>
        <w:tc>
          <w:tcPr>
            <w:tcW w:w="4232" w:type="dxa"/>
          </w:tcPr>
          <w:p>
            <w:pPr>
              <w:pStyle w:val="TableParagraph"/>
              <w:spacing w:before="151"/>
              <w:ind w:left="182"/>
              <w:rPr>
                <w:sz w:val="16"/>
              </w:rPr>
            </w:pPr>
            <w:r>
              <w:rPr>
                <w:sz w:val="16"/>
              </w:rPr>
              <w:t>Instituto Electoral del Estado de Sinaloa</w:t>
            </w:r>
          </w:p>
        </w:tc>
        <w:tc>
          <w:tcPr>
            <w:tcW w:w="29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before="159"/>
              <w:ind w:right="29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92,695,356</w:t>
            </w:r>
          </w:p>
        </w:tc>
      </w:tr>
      <w:tr>
        <w:trPr>
          <w:trHeight w:val="318" w:hRule="atLeast"/>
        </w:trPr>
        <w:tc>
          <w:tcPr>
            <w:tcW w:w="4232" w:type="dxa"/>
          </w:tcPr>
          <w:p>
            <w:pPr>
              <w:pStyle w:val="TableParagraph"/>
              <w:spacing w:line="172" w:lineRule="exact" w:before="126"/>
              <w:ind w:left="182"/>
              <w:rPr>
                <w:sz w:val="16"/>
              </w:rPr>
            </w:pPr>
            <w:r>
              <w:rPr>
                <w:sz w:val="16"/>
              </w:rPr>
              <w:t>Tribunal Electoral del Estado de Sinaloa</w:t>
            </w:r>
          </w:p>
        </w:tc>
        <w:tc>
          <w:tcPr>
            <w:tcW w:w="2953" w:type="dxa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3970" w:type="dxa"/>
          </w:tcPr>
          <w:p>
            <w:pPr>
              <w:pStyle w:val="TableParagraph"/>
              <w:spacing w:line="164" w:lineRule="exact" w:before="135"/>
              <w:ind w:right="291"/>
              <w:jc w:val="right"/>
              <w:rPr>
                <w:sz w:val="16"/>
              </w:rPr>
            </w:pPr>
            <w:r>
              <w:rPr>
                <w:w w:val="95"/>
                <w:sz w:val="16"/>
              </w:rPr>
              <w:t>43,895,415</w:t>
            </w:r>
          </w:p>
        </w:tc>
      </w:tr>
    </w:tbl>
    <w:sectPr>
      <w:type w:val="continuous"/>
      <w:pgSz w:w="12240" w:h="15840"/>
      <w:pgMar w:top="340" w:bottom="280" w:left="560" w:right="30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b/>
      <w:bCs/>
      <w:sz w:val="28"/>
      <w:szCs w:val="2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>
      <w:rFonts w:ascii="Arial" w:hAnsi="Arial" w:eastAsia="Arial" w:cs="Arial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Cesar</dc:creator>
  <dc:title>Crystal Reports - rpt_ppp_ppto_por_organo_autonomo_presentacion_img_18</dc:title>
  <dcterms:created xsi:type="dcterms:W3CDTF">2022-01-21T20:31:44Z</dcterms:created>
  <dcterms:modified xsi:type="dcterms:W3CDTF">2022-01-21T20:31:44Z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2021-12-15T00:00:00Z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2022-01-21T00:00:00Z</vt:filetime>
  </property>
</Properties>
</file>