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pPr w:leftFromText="141" w:rightFromText="141" w:vertAnchor="text" w:horzAnchor="margin" w:tblpY="-4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42"/>
      </w:tblGrid>
      <w:tr w:rsidR="006E1F0E" w14:paraId="11802A08" w14:textId="77777777" w:rsidTr="00605349">
        <w:trPr>
          <w:trHeight w:val="374"/>
        </w:trPr>
        <w:tc>
          <w:tcPr>
            <w:tcW w:w="14242" w:type="dxa"/>
            <w:shd w:val="clear" w:color="auto" w:fill="861D31"/>
            <w:vAlign w:val="center"/>
          </w:tcPr>
          <w:p w14:paraId="5AD0A614" w14:textId="77777777" w:rsidR="006E1F0E" w:rsidRPr="00916E18" w:rsidRDefault="006E1F0E" w:rsidP="000C6BFE">
            <w:pPr>
              <w:rPr>
                <w:rFonts w:ascii="Arial" w:hAnsi="Arial" w:cs="Arial"/>
                <w:b/>
                <w:color w:val="FFFFFF" w:themeColor="background1"/>
                <w:sz w:val="18"/>
                <w:szCs w:val="18"/>
              </w:rPr>
            </w:pPr>
            <w:r w:rsidRPr="00421AA0">
              <w:rPr>
                <w:rFonts w:ascii="Arial" w:hAnsi="Arial" w:cs="Arial"/>
                <w:b/>
                <w:color w:val="FFFFFF" w:themeColor="background1"/>
                <w:sz w:val="18"/>
                <w:szCs w:val="18"/>
              </w:rPr>
              <w:t>Concepto</w:t>
            </w:r>
          </w:p>
        </w:tc>
      </w:tr>
      <w:tr w:rsidR="006E1F0E" w:rsidRPr="00916E18" w14:paraId="313151CF" w14:textId="77777777" w:rsidTr="00605349">
        <w:trPr>
          <w:trHeight w:val="374"/>
        </w:trPr>
        <w:tc>
          <w:tcPr>
            <w:tcW w:w="14242" w:type="dxa"/>
            <w:shd w:val="clear" w:color="auto" w:fill="81776F"/>
            <w:vAlign w:val="center"/>
          </w:tcPr>
          <w:p w14:paraId="7CD9236F" w14:textId="77777777" w:rsidR="006E1F0E" w:rsidRPr="00916E18" w:rsidRDefault="006E1F0E" w:rsidP="000C6BFE">
            <w:pPr>
              <w:rPr>
                <w:rFonts w:ascii="Arial" w:hAnsi="Arial" w:cs="Arial"/>
                <w:b/>
                <w:color w:val="FFFFFF" w:themeColor="background1"/>
                <w:sz w:val="18"/>
                <w:szCs w:val="18"/>
              </w:rPr>
            </w:pPr>
            <w:r w:rsidRPr="00916E18">
              <w:rPr>
                <w:rFonts w:ascii="Arial" w:hAnsi="Arial" w:cs="Arial"/>
                <w:b/>
                <w:sz w:val="18"/>
                <w:szCs w:val="18"/>
              </w:rPr>
              <w:t xml:space="preserve">     </w:t>
            </w:r>
            <w:r w:rsidRPr="00916E18">
              <w:rPr>
                <w:rFonts w:ascii="Arial" w:hAnsi="Arial" w:cs="Arial"/>
                <w:b/>
                <w:color w:val="FFFFFF" w:themeColor="background1"/>
                <w:sz w:val="18"/>
                <w:szCs w:val="18"/>
              </w:rPr>
              <w:t>Descripción</w:t>
            </w:r>
          </w:p>
        </w:tc>
      </w:tr>
      <w:tr w:rsidR="006E1F0E" w14:paraId="7510E821" w14:textId="77777777" w:rsidTr="00605349">
        <w:tc>
          <w:tcPr>
            <w:tcW w:w="14242" w:type="dxa"/>
          </w:tcPr>
          <w:p w14:paraId="4C1C4F09" w14:textId="77777777" w:rsidR="006E1F0E" w:rsidRDefault="006E1F0E" w:rsidP="000C6BFE"/>
        </w:tc>
      </w:tr>
      <w:tr w:rsidR="006E1F0E" w:rsidRPr="00916E18" w14:paraId="256AEF7F" w14:textId="77777777" w:rsidTr="00605349">
        <w:trPr>
          <w:trHeight w:val="374"/>
        </w:trPr>
        <w:tc>
          <w:tcPr>
            <w:tcW w:w="14242" w:type="dxa"/>
            <w:shd w:val="clear" w:color="auto" w:fill="81776F"/>
            <w:vAlign w:val="center"/>
          </w:tcPr>
          <w:p w14:paraId="24A62E5B" w14:textId="77777777" w:rsidR="003C5137" w:rsidRDefault="006E1F0E" w:rsidP="000C6BFE">
            <w:pPr>
              <w:rPr>
                <w:rFonts w:ascii="Arial" w:hAnsi="Arial" w:cs="Arial"/>
                <w:b/>
                <w:color w:val="FFFFFF" w:themeColor="background1"/>
                <w:sz w:val="18"/>
                <w:szCs w:val="18"/>
              </w:rPr>
            </w:pPr>
            <w:r w:rsidRPr="00916E18">
              <w:rPr>
                <w:rFonts w:ascii="Arial" w:hAnsi="Arial" w:cs="Arial"/>
                <w:b/>
                <w:color w:val="FFFFFF" w:themeColor="background1"/>
                <w:sz w:val="18"/>
                <w:szCs w:val="18"/>
              </w:rPr>
              <w:t>Objetivos Anuales</w:t>
            </w:r>
          </w:p>
          <w:p w14:paraId="164D0FFC" w14:textId="77777777" w:rsidR="003C5137" w:rsidRPr="00916E18" w:rsidRDefault="003C5137" w:rsidP="000C6BFE">
            <w:pPr>
              <w:rPr>
                <w:rFonts w:ascii="Arial" w:hAnsi="Arial" w:cs="Arial"/>
                <w:b/>
                <w:color w:val="FFFFFF" w:themeColor="background1"/>
                <w:sz w:val="18"/>
                <w:szCs w:val="18"/>
              </w:rPr>
            </w:pPr>
          </w:p>
        </w:tc>
      </w:tr>
      <w:tr w:rsidR="00605349" w14:paraId="32420D26" w14:textId="77777777" w:rsidTr="004967CF">
        <w:tc>
          <w:tcPr>
            <w:tcW w:w="14242" w:type="dxa"/>
            <w:shd w:val="clear" w:color="auto" w:fill="auto"/>
          </w:tcPr>
          <w:p w14:paraId="28DDE0C0" w14:textId="77777777" w:rsidR="00DD3E47" w:rsidRPr="00DD3E47" w:rsidRDefault="00DD3E47" w:rsidP="00DD3E47">
            <w:pPr>
              <w:snapToGrid w:val="0"/>
              <w:spacing w:before="120" w:after="120" w:line="288" w:lineRule="auto"/>
              <w:rPr>
                <w:rFonts w:ascii="Arial" w:hAnsi="Arial" w:cs="Arial"/>
                <w:sz w:val="16"/>
                <w:szCs w:val="16"/>
              </w:rPr>
            </w:pPr>
            <w:r w:rsidRPr="00DD3E47">
              <w:rPr>
                <w:rFonts w:ascii="Arial" w:hAnsi="Arial" w:cs="Arial"/>
                <w:sz w:val="16"/>
                <w:szCs w:val="16"/>
              </w:rPr>
              <w:t xml:space="preserve">Recaudar el monto previsto en el pronóstico de ingresos para el ejercicio fiscal </w:t>
            </w:r>
            <w:r w:rsidRPr="00DD3E47">
              <w:rPr>
                <w:rFonts w:ascii="Arial" w:hAnsi="Arial"/>
                <w:sz w:val="16"/>
                <w:szCs w:val="16"/>
              </w:rPr>
              <w:t>2021</w:t>
            </w:r>
            <w:r w:rsidRPr="00DD3E47">
              <w:rPr>
                <w:rFonts w:ascii="Arial" w:hAnsi="Arial" w:cs="Arial"/>
                <w:sz w:val="16"/>
                <w:szCs w:val="16"/>
              </w:rPr>
              <w:t>.</w:t>
            </w:r>
          </w:p>
          <w:p w14:paraId="63040103" w14:textId="77777777" w:rsidR="00DD3E47" w:rsidRPr="00DD3E47" w:rsidRDefault="00DD3E47" w:rsidP="00DD3E47">
            <w:pPr>
              <w:snapToGrid w:val="0"/>
              <w:spacing w:before="120" w:after="120" w:line="288" w:lineRule="auto"/>
              <w:rPr>
                <w:rFonts w:ascii="Arial" w:hAnsi="Arial" w:cs="Arial"/>
                <w:sz w:val="16"/>
                <w:szCs w:val="16"/>
              </w:rPr>
            </w:pPr>
            <w:r w:rsidRPr="00DD3E47">
              <w:rPr>
                <w:rFonts w:ascii="Arial" w:hAnsi="Arial" w:cs="Arial"/>
                <w:sz w:val="16"/>
                <w:szCs w:val="16"/>
              </w:rPr>
              <w:t>Brindar una mayor y mejor atención al contribuyente.</w:t>
            </w:r>
          </w:p>
          <w:p w14:paraId="2BA7B312" w14:textId="77777777" w:rsidR="00DD3E47" w:rsidRPr="00DD3E47" w:rsidRDefault="00DD3E47" w:rsidP="00DD3E47">
            <w:pPr>
              <w:snapToGrid w:val="0"/>
              <w:spacing w:before="120" w:after="120" w:line="288" w:lineRule="auto"/>
              <w:rPr>
                <w:rFonts w:ascii="Arial" w:hAnsi="Arial" w:cs="Arial"/>
                <w:sz w:val="16"/>
                <w:szCs w:val="16"/>
              </w:rPr>
            </w:pPr>
            <w:r w:rsidRPr="00DD3E47">
              <w:rPr>
                <w:rFonts w:ascii="Arial" w:hAnsi="Arial" w:cs="Arial"/>
                <w:sz w:val="16"/>
                <w:szCs w:val="16"/>
              </w:rPr>
              <w:t>Fortalecer la recaudación de los Ingresos Propios.</w:t>
            </w:r>
          </w:p>
          <w:p w14:paraId="5B8D915B" w14:textId="77777777" w:rsidR="00DD3E47" w:rsidRPr="00DD3E47" w:rsidRDefault="00DD3E47" w:rsidP="00DD3E47">
            <w:pPr>
              <w:snapToGrid w:val="0"/>
              <w:spacing w:before="120" w:after="120" w:line="288" w:lineRule="auto"/>
              <w:rPr>
                <w:rFonts w:ascii="Arial" w:hAnsi="Arial" w:cs="Arial"/>
                <w:sz w:val="16"/>
                <w:szCs w:val="16"/>
              </w:rPr>
            </w:pPr>
            <w:r w:rsidRPr="00DD3E47">
              <w:rPr>
                <w:rFonts w:ascii="Arial" w:hAnsi="Arial" w:cs="Arial"/>
                <w:sz w:val="16"/>
                <w:szCs w:val="16"/>
              </w:rPr>
              <w:t>Ampliar la base de contribuyentes.</w:t>
            </w:r>
          </w:p>
          <w:p w14:paraId="610E2566" w14:textId="77777777" w:rsidR="00DD3E47" w:rsidRPr="00DD3E47" w:rsidRDefault="00DD3E47" w:rsidP="00DD3E47">
            <w:pPr>
              <w:snapToGrid w:val="0"/>
              <w:spacing w:before="120" w:after="120" w:line="288" w:lineRule="auto"/>
              <w:rPr>
                <w:rFonts w:ascii="Arial" w:hAnsi="Arial" w:cs="Arial"/>
                <w:sz w:val="16"/>
                <w:szCs w:val="16"/>
              </w:rPr>
            </w:pPr>
            <w:r w:rsidRPr="00DD3E47">
              <w:rPr>
                <w:rFonts w:ascii="Arial" w:hAnsi="Arial" w:cs="Arial"/>
                <w:sz w:val="16"/>
                <w:szCs w:val="16"/>
              </w:rPr>
              <w:t>Fomentar la recuperación de la cartera vencida.</w:t>
            </w:r>
          </w:p>
          <w:p w14:paraId="76BDB5FC" w14:textId="77777777" w:rsidR="00DD3E47" w:rsidRPr="00DD3E47" w:rsidRDefault="00DD3E47" w:rsidP="00DD3E47">
            <w:pPr>
              <w:snapToGrid w:val="0"/>
              <w:spacing w:before="120" w:after="120" w:line="288" w:lineRule="auto"/>
              <w:rPr>
                <w:rFonts w:ascii="Arial" w:hAnsi="Arial" w:cs="Arial"/>
                <w:sz w:val="16"/>
                <w:szCs w:val="16"/>
              </w:rPr>
            </w:pPr>
            <w:r w:rsidRPr="00DD3E47">
              <w:rPr>
                <w:rFonts w:ascii="Arial" w:hAnsi="Arial" w:cs="Arial"/>
                <w:sz w:val="16"/>
                <w:szCs w:val="16"/>
              </w:rPr>
              <w:t>Fortalecer la coordinación fiscal del Estado con la Federación y con los municipios.</w:t>
            </w:r>
          </w:p>
          <w:p w14:paraId="66FB6F05" w14:textId="77777777" w:rsidR="00DD3E47" w:rsidRPr="00DD3E47" w:rsidRDefault="00DD3E47" w:rsidP="00DD3E47">
            <w:pPr>
              <w:snapToGrid w:val="0"/>
              <w:spacing w:before="120" w:after="120" w:line="288" w:lineRule="auto"/>
              <w:rPr>
                <w:rFonts w:ascii="Arial" w:hAnsi="Arial" w:cs="Arial"/>
                <w:sz w:val="16"/>
                <w:szCs w:val="16"/>
              </w:rPr>
            </w:pPr>
            <w:r w:rsidRPr="00DD3E47">
              <w:rPr>
                <w:rFonts w:ascii="Arial" w:hAnsi="Arial" w:cs="Arial"/>
                <w:sz w:val="16"/>
                <w:szCs w:val="16"/>
              </w:rPr>
              <w:t>El objetivo del Gobierno del Estado a través del Proyecto de Presupuesto de Egresos del Estado de Sinaloa para el Ejercicio Fiscal 2021, es incentivar el desarrollo social y el crecimiento económico estatal mediante la activación del gasto público en áreas estratégicas como: la infraestructura productiva y social básica, acceso a servicios de educación de calidad, cobertura de salud, vivienda y seguridad pública, que permita consolidarnos como una entidad facilitadora de la inversión, con su impacto positivo en el aumento del empleo y la disminución de la pobreza.</w:t>
            </w:r>
          </w:p>
          <w:p w14:paraId="40F5D6E6" w14:textId="75A78B63" w:rsidR="00605349" w:rsidRPr="00DD3E47" w:rsidRDefault="00DD3E47" w:rsidP="00DD3E47">
            <w:pPr>
              <w:snapToGrid w:val="0"/>
              <w:spacing w:before="120" w:after="120" w:line="288" w:lineRule="auto"/>
              <w:rPr>
                <w:rFonts w:ascii="Arial" w:hAnsi="Arial" w:cs="Arial"/>
                <w:sz w:val="16"/>
                <w:szCs w:val="16"/>
              </w:rPr>
            </w:pPr>
            <w:r w:rsidRPr="00DD3E47">
              <w:rPr>
                <w:rFonts w:ascii="Arial" w:hAnsi="Arial" w:cs="Arial"/>
                <w:sz w:val="16"/>
                <w:szCs w:val="16"/>
              </w:rPr>
              <w:t>Priorizar el uso del gasto público para los programas sociales que incidan en reducir las desigualdades económicas, sociales y geográficas de los sinaloenses.</w:t>
            </w:r>
          </w:p>
        </w:tc>
      </w:tr>
      <w:tr w:rsidR="00605349" w:rsidRPr="008738AE" w14:paraId="1A2ACB75" w14:textId="77777777" w:rsidTr="00605349">
        <w:trPr>
          <w:trHeight w:val="374"/>
        </w:trPr>
        <w:tc>
          <w:tcPr>
            <w:tcW w:w="14242" w:type="dxa"/>
            <w:shd w:val="clear" w:color="auto" w:fill="81776F"/>
            <w:vAlign w:val="center"/>
          </w:tcPr>
          <w:p w14:paraId="2AFF2B3F" w14:textId="77777777" w:rsidR="00605349" w:rsidRPr="008738AE" w:rsidRDefault="00605349" w:rsidP="00605349">
            <w:pPr>
              <w:rPr>
                <w:rFonts w:ascii="Arial" w:hAnsi="Arial" w:cs="Arial"/>
                <w:b/>
                <w:color w:val="FFFFFF" w:themeColor="background1"/>
                <w:sz w:val="18"/>
                <w:szCs w:val="18"/>
              </w:rPr>
            </w:pPr>
            <w:r w:rsidRPr="008738AE">
              <w:rPr>
                <w:rFonts w:ascii="Arial" w:hAnsi="Arial" w:cs="Arial"/>
                <w:b/>
                <w:color w:val="FFFFFF" w:themeColor="background1"/>
                <w:sz w:val="18"/>
                <w:szCs w:val="18"/>
              </w:rPr>
              <w:t>Estrategias</w:t>
            </w:r>
          </w:p>
        </w:tc>
      </w:tr>
    </w:tbl>
    <w:p w14:paraId="2CF61659" w14:textId="77777777" w:rsidR="00DD3E47" w:rsidRPr="00DD3E47" w:rsidRDefault="00DD3E47" w:rsidP="00DD3E47">
      <w:pPr>
        <w:snapToGrid w:val="0"/>
        <w:spacing w:before="120" w:after="120" w:line="288" w:lineRule="auto"/>
        <w:rPr>
          <w:rFonts w:ascii="Arial" w:hAnsi="Arial" w:cs="Arial"/>
          <w:sz w:val="16"/>
          <w:szCs w:val="16"/>
        </w:rPr>
      </w:pPr>
      <w:r w:rsidRPr="00DD3E47">
        <w:rPr>
          <w:rFonts w:ascii="Arial" w:hAnsi="Arial" w:cs="Arial"/>
          <w:sz w:val="16"/>
          <w:szCs w:val="16"/>
        </w:rPr>
        <w:t>Simplificación administrativa para el pago de las contribuciones estatales y federales y municipales convenidas, a través de una mejor atención al contribuyente, mayores facilidades para que realicen sus trámites y un mayor número de puntos de pago.</w:t>
      </w:r>
    </w:p>
    <w:p w14:paraId="77C41DD5" w14:textId="77777777" w:rsidR="00DD3E47" w:rsidRPr="00DD3E47" w:rsidRDefault="00DD3E47" w:rsidP="00DD3E47">
      <w:pPr>
        <w:snapToGrid w:val="0"/>
        <w:spacing w:before="120" w:after="120" w:line="288" w:lineRule="auto"/>
        <w:rPr>
          <w:rFonts w:ascii="Arial" w:hAnsi="Arial" w:cs="Arial"/>
          <w:sz w:val="16"/>
          <w:szCs w:val="16"/>
        </w:rPr>
      </w:pPr>
      <w:r w:rsidRPr="00DD3E47">
        <w:rPr>
          <w:rFonts w:ascii="Arial" w:hAnsi="Arial" w:cs="Arial"/>
          <w:sz w:val="16"/>
          <w:szCs w:val="16"/>
        </w:rPr>
        <w:t>Una fiscalización focalizada mediante la identificación puntual de contribuyentes omisos.</w:t>
      </w:r>
    </w:p>
    <w:p w14:paraId="39B97BDA" w14:textId="77777777" w:rsidR="00DD3E47" w:rsidRPr="00DD3E47" w:rsidRDefault="00DD3E47" w:rsidP="00DD3E47">
      <w:pPr>
        <w:snapToGrid w:val="0"/>
        <w:spacing w:before="120" w:after="120" w:line="288" w:lineRule="auto"/>
        <w:rPr>
          <w:rFonts w:ascii="Arial" w:hAnsi="Arial" w:cs="Arial"/>
          <w:sz w:val="16"/>
          <w:szCs w:val="16"/>
        </w:rPr>
      </w:pPr>
      <w:r w:rsidRPr="00DD3E47">
        <w:rPr>
          <w:rFonts w:ascii="Arial" w:hAnsi="Arial" w:cs="Arial"/>
          <w:sz w:val="16"/>
          <w:szCs w:val="16"/>
        </w:rPr>
        <w:t>Ampliación de la base de contribuyentes, mediante el uso de sistemas de información a nivel nacional, estatal y una mayor presencia fiscal.</w:t>
      </w:r>
    </w:p>
    <w:p w14:paraId="1BD11D42" w14:textId="77777777" w:rsidR="00DD3E47" w:rsidRPr="00DD3E47" w:rsidRDefault="00DD3E47" w:rsidP="00DD3E47">
      <w:pPr>
        <w:snapToGrid w:val="0"/>
        <w:spacing w:before="120" w:after="120" w:line="288" w:lineRule="auto"/>
        <w:rPr>
          <w:rFonts w:ascii="Arial" w:hAnsi="Arial" w:cs="Arial"/>
          <w:sz w:val="16"/>
          <w:szCs w:val="16"/>
        </w:rPr>
      </w:pPr>
      <w:r w:rsidRPr="00DD3E47">
        <w:rPr>
          <w:rFonts w:ascii="Arial" w:hAnsi="Arial" w:cs="Arial"/>
          <w:sz w:val="16"/>
          <w:szCs w:val="16"/>
        </w:rPr>
        <w:t>Regularización de los contribuyentes, mediante el uso de cartas invitación y procesos administrativos de ejecución.</w:t>
      </w:r>
    </w:p>
    <w:p w14:paraId="405C3642" w14:textId="77777777" w:rsidR="00DD3E47" w:rsidRPr="00DD3E47" w:rsidRDefault="00DD3E47" w:rsidP="00DD3E47">
      <w:pPr>
        <w:snapToGrid w:val="0"/>
        <w:spacing w:before="120" w:after="120" w:line="288" w:lineRule="auto"/>
        <w:rPr>
          <w:rFonts w:ascii="Arial" w:hAnsi="Arial" w:cs="Arial"/>
          <w:sz w:val="16"/>
          <w:szCs w:val="16"/>
        </w:rPr>
      </w:pPr>
      <w:r w:rsidRPr="00DD3E47">
        <w:rPr>
          <w:rFonts w:ascii="Arial" w:hAnsi="Arial" w:cs="Arial"/>
          <w:sz w:val="16"/>
          <w:szCs w:val="16"/>
        </w:rPr>
        <w:t>Mejorar el sistema para la recuperación de créditos fiscales, mediante la implementación de acciones coordinadas en los distintos órdenes de gobierno y uso de la tecnología para reducir la cartera vencida.</w:t>
      </w:r>
    </w:p>
    <w:p w14:paraId="2C9A4E2E" w14:textId="77777777" w:rsidR="00DD3E47" w:rsidRPr="00DD3E47" w:rsidRDefault="00DD3E47" w:rsidP="00DD3E47">
      <w:pPr>
        <w:snapToGrid w:val="0"/>
        <w:spacing w:before="120" w:after="120" w:line="288" w:lineRule="auto"/>
        <w:rPr>
          <w:rFonts w:ascii="Arial" w:hAnsi="Arial" w:cs="Arial"/>
          <w:sz w:val="16"/>
          <w:szCs w:val="16"/>
        </w:rPr>
      </w:pPr>
      <w:r w:rsidRPr="00DD3E47">
        <w:rPr>
          <w:rFonts w:ascii="Arial" w:hAnsi="Arial" w:cs="Arial"/>
          <w:sz w:val="16"/>
          <w:szCs w:val="16"/>
        </w:rPr>
        <w:t>Adecuación oportuna de los ordenamientos legales, para brindar certeza jurídica a los contribuyentes para el cumplimiento de sus obligaciones.</w:t>
      </w:r>
    </w:p>
    <w:p w14:paraId="36B60A23" w14:textId="77777777" w:rsidR="00DD3E47" w:rsidRPr="00DD3E47" w:rsidRDefault="00DD3E47" w:rsidP="00DD3E47">
      <w:pPr>
        <w:snapToGrid w:val="0"/>
        <w:spacing w:before="120" w:after="120" w:line="288" w:lineRule="auto"/>
        <w:rPr>
          <w:rFonts w:ascii="Arial" w:hAnsi="Arial" w:cs="Arial"/>
          <w:sz w:val="16"/>
          <w:szCs w:val="16"/>
        </w:rPr>
      </w:pPr>
      <w:r w:rsidRPr="00DD3E47">
        <w:rPr>
          <w:rFonts w:ascii="Arial" w:hAnsi="Arial" w:cs="Arial"/>
          <w:sz w:val="16"/>
          <w:szCs w:val="16"/>
        </w:rPr>
        <w:t>Hacer un mejor uso de los recursos públicos mediante la eficiencia y eficacia de todos los mismos, para con ello dotar a los sinaloenses de una mayor provisión de bienes y servicios públicos de calidad.</w:t>
      </w:r>
    </w:p>
    <w:p w14:paraId="00AFA8E0" w14:textId="77777777" w:rsidR="00DD3E47" w:rsidRPr="00DD3E47" w:rsidRDefault="00DD3E47" w:rsidP="00DD3E47">
      <w:pPr>
        <w:snapToGrid w:val="0"/>
        <w:spacing w:before="120" w:after="120" w:line="288" w:lineRule="auto"/>
        <w:rPr>
          <w:rFonts w:ascii="Arial" w:hAnsi="Arial" w:cs="Arial"/>
          <w:sz w:val="16"/>
          <w:szCs w:val="16"/>
        </w:rPr>
      </w:pPr>
      <w:r w:rsidRPr="00DD3E47">
        <w:rPr>
          <w:rFonts w:ascii="Arial" w:hAnsi="Arial" w:cs="Arial"/>
          <w:sz w:val="16"/>
          <w:szCs w:val="16"/>
        </w:rPr>
        <w:t>Realizar un manejo responsable de las finanzas públicas e implementar los ajustes necesarios a fin de mantener el equilibrio fiscal.</w:t>
      </w:r>
    </w:p>
    <w:p w14:paraId="6DEE49C7" w14:textId="77777777" w:rsidR="00DD3E47" w:rsidRPr="00DD3E47" w:rsidRDefault="00DD3E47" w:rsidP="00DD3E47">
      <w:pPr>
        <w:snapToGrid w:val="0"/>
        <w:spacing w:before="120" w:after="120" w:line="288" w:lineRule="auto"/>
        <w:rPr>
          <w:rFonts w:ascii="Arial" w:hAnsi="Arial" w:cs="Arial"/>
          <w:sz w:val="16"/>
          <w:szCs w:val="16"/>
        </w:rPr>
      </w:pPr>
      <w:r w:rsidRPr="00DD3E47">
        <w:rPr>
          <w:rFonts w:ascii="Arial" w:hAnsi="Arial" w:cs="Arial"/>
          <w:sz w:val="16"/>
          <w:szCs w:val="16"/>
        </w:rPr>
        <w:t>Consolidar el Presupuesto basado en Resultados y el Sistema de Evaluación del Desempeño (</w:t>
      </w:r>
      <w:proofErr w:type="spellStart"/>
      <w:r w:rsidRPr="00DD3E47">
        <w:rPr>
          <w:rFonts w:ascii="Arial" w:hAnsi="Arial" w:cs="Arial"/>
          <w:sz w:val="16"/>
          <w:szCs w:val="16"/>
        </w:rPr>
        <w:t>PbR</w:t>
      </w:r>
      <w:proofErr w:type="spellEnd"/>
      <w:r w:rsidRPr="00DD3E47">
        <w:rPr>
          <w:rFonts w:ascii="Arial" w:hAnsi="Arial" w:cs="Arial"/>
          <w:sz w:val="16"/>
          <w:szCs w:val="16"/>
        </w:rPr>
        <w:t>-SED), para alcanzar un gasto público más eficiente, transparente y de mayor calidad, que permita identificar los recursos asignados en temas prioritarios.</w:t>
      </w:r>
    </w:p>
    <w:p w14:paraId="69913E2B" w14:textId="77777777" w:rsidR="00DD3E47" w:rsidRPr="00DD3E47" w:rsidRDefault="00DD3E47" w:rsidP="00DD3E47">
      <w:pPr>
        <w:snapToGrid w:val="0"/>
        <w:spacing w:before="120" w:after="120" w:line="288" w:lineRule="auto"/>
        <w:rPr>
          <w:rFonts w:ascii="Arial" w:hAnsi="Arial" w:cs="Arial"/>
          <w:sz w:val="16"/>
          <w:szCs w:val="16"/>
        </w:rPr>
      </w:pPr>
      <w:r w:rsidRPr="00DD3E47">
        <w:rPr>
          <w:rFonts w:ascii="Arial" w:hAnsi="Arial" w:cs="Arial"/>
          <w:sz w:val="16"/>
          <w:szCs w:val="16"/>
        </w:rPr>
        <w:lastRenderedPageBreak/>
        <w:t>Seleccionar proyectos de gasto de inversión que tengan mayor expectativa de rentabilidad financiera y social en los determinantes del crecimiento de la economía local.</w:t>
      </w:r>
    </w:p>
    <w:p w14:paraId="041A0D37" w14:textId="25B8588B" w:rsidR="00B91A8F" w:rsidRPr="008738AE" w:rsidRDefault="00B91A8F" w:rsidP="004967CF">
      <w:pPr>
        <w:jc w:val="both"/>
        <w:rPr>
          <w:rFonts w:ascii="Arial" w:hAnsi="Arial" w:cs="Arial"/>
          <w:sz w:val="16"/>
          <w:szCs w:val="1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42"/>
      </w:tblGrid>
      <w:tr w:rsidR="008738AE" w:rsidRPr="008738AE" w14:paraId="35B24EFC" w14:textId="77777777" w:rsidTr="00B91A8F">
        <w:trPr>
          <w:trHeight w:val="369"/>
        </w:trPr>
        <w:tc>
          <w:tcPr>
            <w:tcW w:w="14242" w:type="dxa"/>
            <w:shd w:val="clear" w:color="auto" w:fill="81776F"/>
            <w:vAlign w:val="center"/>
          </w:tcPr>
          <w:p w14:paraId="7679B219" w14:textId="77777777" w:rsidR="008738AE" w:rsidRPr="008738AE" w:rsidRDefault="008738AE" w:rsidP="008738AE">
            <w:pPr>
              <w:rPr>
                <w:rFonts w:ascii="Arial" w:hAnsi="Arial" w:cs="Arial"/>
                <w:b/>
                <w:color w:val="FFFFFF" w:themeColor="background1"/>
                <w:sz w:val="18"/>
                <w:szCs w:val="18"/>
              </w:rPr>
            </w:pPr>
            <w:r>
              <w:rPr>
                <w:rFonts w:ascii="Arial" w:hAnsi="Arial" w:cs="Arial"/>
                <w:b/>
                <w:color w:val="FFFFFF" w:themeColor="background1"/>
                <w:sz w:val="18"/>
                <w:szCs w:val="18"/>
              </w:rPr>
              <w:t>Metas</w:t>
            </w:r>
          </w:p>
        </w:tc>
      </w:tr>
    </w:tbl>
    <w:p w14:paraId="762A6433" w14:textId="77777777" w:rsidR="00DD3E47" w:rsidRPr="00DD3E47" w:rsidRDefault="00DD3E47" w:rsidP="00DD3E47">
      <w:pPr>
        <w:snapToGrid w:val="0"/>
        <w:spacing w:before="120" w:after="120" w:line="288" w:lineRule="auto"/>
        <w:rPr>
          <w:rFonts w:ascii="Arial" w:hAnsi="Arial" w:cs="Arial"/>
          <w:sz w:val="16"/>
          <w:szCs w:val="16"/>
        </w:rPr>
      </w:pPr>
      <w:r w:rsidRPr="00DD3E47">
        <w:rPr>
          <w:rFonts w:ascii="Arial" w:hAnsi="Arial" w:cs="Arial"/>
          <w:sz w:val="16"/>
          <w:szCs w:val="16"/>
        </w:rPr>
        <w:t>Lograr la meta recaudatoria en materia de Impuestos, a través de una política de seguimiento y control de obligaciones.</w:t>
      </w:r>
    </w:p>
    <w:p w14:paraId="5352F3A2" w14:textId="77777777" w:rsidR="00DD3E47" w:rsidRPr="00DD3E47" w:rsidRDefault="00DD3E47" w:rsidP="00DD3E47">
      <w:pPr>
        <w:snapToGrid w:val="0"/>
        <w:spacing w:before="120" w:after="120" w:line="288" w:lineRule="auto"/>
        <w:rPr>
          <w:rFonts w:ascii="Arial" w:hAnsi="Arial" w:cs="Arial"/>
          <w:sz w:val="16"/>
          <w:szCs w:val="16"/>
        </w:rPr>
      </w:pPr>
      <w:r w:rsidRPr="00DD3E47">
        <w:rPr>
          <w:rFonts w:ascii="Arial" w:hAnsi="Arial" w:cs="Arial"/>
          <w:sz w:val="16"/>
          <w:szCs w:val="16"/>
        </w:rPr>
        <w:t>Alcanzar la meta recaudatoria en lo concerniente a los Derechos.</w:t>
      </w:r>
    </w:p>
    <w:p w14:paraId="3059787A" w14:textId="77777777" w:rsidR="00DD3E47" w:rsidRPr="00DD3E47" w:rsidRDefault="00DD3E47" w:rsidP="00DD3E47">
      <w:pPr>
        <w:snapToGrid w:val="0"/>
        <w:spacing w:before="120" w:after="120" w:line="288" w:lineRule="auto"/>
        <w:rPr>
          <w:rFonts w:ascii="Arial" w:hAnsi="Arial" w:cs="Arial"/>
          <w:sz w:val="16"/>
          <w:szCs w:val="16"/>
        </w:rPr>
      </w:pPr>
      <w:r w:rsidRPr="00DD3E47">
        <w:rPr>
          <w:rFonts w:ascii="Arial" w:hAnsi="Arial" w:cs="Arial"/>
          <w:sz w:val="16"/>
          <w:szCs w:val="16"/>
        </w:rPr>
        <w:t>Lograr la meta de ingresos de las Participaciones Federales por esfuerzo propio que recauda el estado en base al Convenio de Colaboración Administrativa en Materia Fiscal Federal y sus anexos.</w:t>
      </w:r>
    </w:p>
    <w:p w14:paraId="736FA600" w14:textId="77777777" w:rsidR="00DD3E47" w:rsidRPr="00DD3E47" w:rsidRDefault="00DD3E47" w:rsidP="00DD3E47">
      <w:pPr>
        <w:snapToGrid w:val="0"/>
        <w:spacing w:before="120" w:after="120" w:line="288" w:lineRule="auto"/>
        <w:rPr>
          <w:rFonts w:ascii="Arial" w:hAnsi="Arial" w:cs="Arial"/>
          <w:sz w:val="16"/>
          <w:szCs w:val="16"/>
        </w:rPr>
      </w:pPr>
      <w:r w:rsidRPr="00DD3E47">
        <w:rPr>
          <w:rFonts w:ascii="Arial" w:hAnsi="Arial" w:cs="Arial"/>
          <w:sz w:val="16"/>
          <w:szCs w:val="16"/>
        </w:rPr>
        <w:t>Dar cumplimiento al artículo 10 de la Ley de Disciplina Financiera de las Entidades Federativas y los Municipios, respecto a mantener el costo de los servicios personales.</w:t>
      </w:r>
    </w:p>
    <w:p w14:paraId="1D404B5C" w14:textId="77777777" w:rsidR="00DD3E47" w:rsidRPr="00DD3E47" w:rsidRDefault="00DD3E47" w:rsidP="00DD3E47">
      <w:pPr>
        <w:snapToGrid w:val="0"/>
        <w:spacing w:before="120" w:after="120" w:line="288" w:lineRule="auto"/>
        <w:rPr>
          <w:rFonts w:ascii="Arial" w:hAnsi="Arial" w:cs="Arial"/>
          <w:sz w:val="16"/>
          <w:szCs w:val="16"/>
        </w:rPr>
      </w:pPr>
      <w:r w:rsidRPr="00DD3E47">
        <w:rPr>
          <w:rFonts w:ascii="Arial" w:hAnsi="Arial" w:cs="Arial"/>
          <w:sz w:val="16"/>
          <w:szCs w:val="16"/>
        </w:rPr>
        <w:t>Cumplir con las obligaciones de transparencia y rendición de cuentas en términos de las disposiciones legales aplicables.</w:t>
      </w:r>
    </w:p>
    <w:p w14:paraId="4697B78D" w14:textId="77777777" w:rsidR="00DD3E47" w:rsidRPr="00DD3E47" w:rsidRDefault="00DD3E47" w:rsidP="00DD3E47">
      <w:pPr>
        <w:snapToGrid w:val="0"/>
        <w:spacing w:before="120" w:after="120" w:line="288" w:lineRule="auto"/>
        <w:rPr>
          <w:rFonts w:ascii="Arial" w:hAnsi="Arial" w:cs="Arial"/>
          <w:sz w:val="16"/>
          <w:szCs w:val="16"/>
        </w:rPr>
      </w:pPr>
      <w:r w:rsidRPr="00DD3E47">
        <w:rPr>
          <w:rFonts w:ascii="Arial" w:hAnsi="Arial" w:cs="Arial"/>
          <w:sz w:val="16"/>
          <w:szCs w:val="16"/>
        </w:rPr>
        <w:t>Continuar con los procesos de armonización contable para consolidar las mejores prácticas entre el ámbito Federal, Estatal y Municipal que abonen a la transparencia.</w:t>
      </w:r>
    </w:p>
    <w:p w14:paraId="45697FBA" w14:textId="77777777" w:rsidR="00DD3E47" w:rsidRPr="00DD3E47" w:rsidRDefault="00DD3E47" w:rsidP="00DD3E47">
      <w:pPr>
        <w:snapToGrid w:val="0"/>
        <w:spacing w:before="120" w:after="120" w:line="288" w:lineRule="auto"/>
        <w:rPr>
          <w:rFonts w:ascii="Arial" w:hAnsi="Arial" w:cs="Arial"/>
          <w:sz w:val="16"/>
          <w:szCs w:val="16"/>
        </w:rPr>
      </w:pPr>
      <w:r w:rsidRPr="00DD3E47">
        <w:rPr>
          <w:rFonts w:ascii="Arial" w:hAnsi="Arial" w:cs="Arial"/>
          <w:sz w:val="16"/>
          <w:szCs w:val="16"/>
        </w:rPr>
        <w:t>Mejorar las condiciones generales bajo las que operan las finanzas públicas, ofreciendo una mayor certidumbre para financiar el gasto del sector social y productivo.</w:t>
      </w:r>
    </w:p>
    <w:p w14:paraId="7B55E4CC" w14:textId="77777777" w:rsidR="00DD3E47" w:rsidRPr="00DD3E47" w:rsidRDefault="00DD3E47" w:rsidP="00DD3E47">
      <w:pPr>
        <w:snapToGrid w:val="0"/>
        <w:spacing w:before="120" w:after="120" w:line="288" w:lineRule="auto"/>
        <w:rPr>
          <w:rFonts w:ascii="Arial" w:hAnsi="Arial" w:cs="Arial"/>
          <w:sz w:val="16"/>
          <w:szCs w:val="16"/>
        </w:rPr>
      </w:pPr>
      <w:r w:rsidRPr="00DD3E47">
        <w:rPr>
          <w:rFonts w:ascii="Arial" w:hAnsi="Arial" w:cs="Arial"/>
          <w:sz w:val="16"/>
          <w:szCs w:val="16"/>
        </w:rPr>
        <w:t>Mantener el ritmo del gasto de inversión en infraestructura productiva en los sectores prioritarios y estratégicos que permitan un crecimiento económico incluyente y ayude a detonar la inversión privada.</w:t>
      </w:r>
    </w:p>
    <w:p w14:paraId="29376B55" w14:textId="77777777" w:rsidR="00DD3E47" w:rsidRPr="00DD3E47" w:rsidRDefault="00DD3E47" w:rsidP="00DD3E47">
      <w:pPr>
        <w:snapToGrid w:val="0"/>
        <w:spacing w:before="120" w:after="120" w:line="288" w:lineRule="auto"/>
        <w:rPr>
          <w:rFonts w:ascii="Arial" w:hAnsi="Arial" w:cs="Arial"/>
          <w:sz w:val="16"/>
          <w:szCs w:val="16"/>
        </w:rPr>
      </w:pPr>
      <w:r w:rsidRPr="00DD3E47">
        <w:rPr>
          <w:rFonts w:ascii="Arial" w:hAnsi="Arial" w:cs="Arial"/>
          <w:sz w:val="16"/>
          <w:szCs w:val="16"/>
        </w:rPr>
        <w:t>Implementar medidas administrativas que permitan contener el crecimiento en el gasto operativo, que contribuya a un mejor balance fiscal.</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42"/>
      </w:tblGrid>
      <w:tr w:rsidR="008738AE" w14:paraId="6B8D73EB" w14:textId="77777777" w:rsidTr="006E08B9">
        <w:trPr>
          <w:trHeight w:val="365"/>
        </w:trPr>
        <w:tc>
          <w:tcPr>
            <w:tcW w:w="14242" w:type="dxa"/>
            <w:shd w:val="clear" w:color="auto" w:fill="861D31"/>
            <w:vAlign w:val="center"/>
          </w:tcPr>
          <w:p w14:paraId="6D442D5E" w14:textId="77777777" w:rsidR="008738AE" w:rsidRPr="006E08B9" w:rsidRDefault="008738AE" w:rsidP="00994F06">
            <w:pPr>
              <w:rPr>
                <w:rFonts w:ascii="Arial" w:hAnsi="Arial" w:cs="Arial"/>
                <w:b/>
                <w:color w:val="FFFFFF" w:themeColor="background1"/>
                <w:sz w:val="18"/>
                <w:szCs w:val="18"/>
              </w:rPr>
            </w:pPr>
            <w:r w:rsidRPr="006E08B9">
              <w:rPr>
                <w:rFonts w:ascii="Arial" w:hAnsi="Arial" w:cs="Arial"/>
                <w:b/>
                <w:color w:val="FFFFFF" w:themeColor="background1"/>
                <w:sz w:val="18"/>
                <w:szCs w:val="18"/>
              </w:rPr>
              <w:t>Concepto</w:t>
            </w:r>
          </w:p>
        </w:tc>
      </w:tr>
      <w:tr w:rsidR="008738AE" w:rsidRPr="00916E18" w14:paraId="5003A7F1" w14:textId="77777777" w:rsidTr="006E08B9">
        <w:trPr>
          <w:trHeight w:val="369"/>
        </w:trPr>
        <w:tc>
          <w:tcPr>
            <w:tcW w:w="14242" w:type="dxa"/>
            <w:shd w:val="clear" w:color="auto" w:fill="81776F"/>
            <w:vAlign w:val="center"/>
          </w:tcPr>
          <w:p w14:paraId="2CA4F97B" w14:textId="77777777" w:rsidR="008738AE" w:rsidRPr="00916E18" w:rsidRDefault="008738AE" w:rsidP="00994F06">
            <w:pPr>
              <w:rPr>
                <w:rFonts w:ascii="Arial" w:hAnsi="Arial" w:cs="Arial"/>
                <w:b/>
                <w:color w:val="FFFFFF" w:themeColor="background1"/>
                <w:sz w:val="18"/>
                <w:szCs w:val="18"/>
              </w:rPr>
            </w:pPr>
            <w:r w:rsidRPr="00916E18">
              <w:rPr>
                <w:rFonts w:ascii="Arial" w:hAnsi="Arial" w:cs="Arial"/>
                <w:b/>
                <w:sz w:val="18"/>
                <w:szCs w:val="18"/>
              </w:rPr>
              <w:t xml:space="preserve">     </w:t>
            </w:r>
            <w:r w:rsidRPr="00916E18">
              <w:rPr>
                <w:rFonts w:ascii="Arial" w:hAnsi="Arial" w:cs="Arial"/>
                <w:b/>
                <w:color w:val="FFFFFF" w:themeColor="background1"/>
                <w:sz w:val="18"/>
                <w:szCs w:val="18"/>
              </w:rPr>
              <w:t>Descripción</w:t>
            </w:r>
          </w:p>
        </w:tc>
      </w:tr>
      <w:tr w:rsidR="008738AE" w14:paraId="61732892" w14:textId="77777777" w:rsidTr="006E08B9">
        <w:tc>
          <w:tcPr>
            <w:tcW w:w="14242" w:type="dxa"/>
          </w:tcPr>
          <w:p w14:paraId="374EB499" w14:textId="77777777" w:rsidR="008738AE" w:rsidRDefault="008738AE" w:rsidP="00994F06"/>
        </w:tc>
      </w:tr>
      <w:tr w:rsidR="008738AE" w:rsidRPr="00916E18" w14:paraId="0370A8D4" w14:textId="77777777" w:rsidTr="006E08B9">
        <w:trPr>
          <w:trHeight w:val="369"/>
        </w:trPr>
        <w:tc>
          <w:tcPr>
            <w:tcW w:w="14242" w:type="dxa"/>
            <w:shd w:val="clear" w:color="auto" w:fill="81776F"/>
            <w:vAlign w:val="center"/>
          </w:tcPr>
          <w:p w14:paraId="19E864D3" w14:textId="77777777" w:rsidR="008738AE" w:rsidRPr="00916E18" w:rsidRDefault="008738AE" w:rsidP="00994F06">
            <w:pPr>
              <w:rPr>
                <w:rFonts w:ascii="Arial" w:hAnsi="Arial" w:cs="Arial"/>
                <w:b/>
                <w:color w:val="FFFFFF" w:themeColor="background1"/>
                <w:sz w:val="18"/>
                <w:szCs w:val="18"/>
              </w:rPr>
            </w:pPr>
            <w:r>
              <w:rPr>
                <w:rFonts w:ascii="Arial" w:hAnsi="Arial" w:cs="Arial"/>
                <w:b/>
                <w:color w:val="FFFFFF" w:themeColor="background1"/>
                <w:sz w:val="18"/>
                <w:szCs w:val="18"/>
              </w:rPr>
              <w:t>Riesgos Relevantes</w:t>
            </w:r>
          </w:p>
        </w:tc>
      </w:tr>
    </w:tbl>
    <w:p w14:paraId="357292EB" w14:textId="77777777" w:rsidR="00DD3E47" w:rsidRPr="00DD3E47" w:rsidRDefault="00DD3E47" w:rsidP="00DD3E47">
      <w:pPr>
        <w:snapToGrid w:val="0"/>
        <w:spacing w:before="120" w:after="120" w:line="288" w:lineRule="auto"/>
        <w:rPr>
          <w:rFonts w:ascii="Arial" w:hAnsi="Arial" w:cs="Arial"/>
          <w:sz w:val="16"/>
          <w:szCs w:val="16"/>
        </w:rPr>
      </w:pPr>
      <w:r w:rsidRPr="00DD3E47">
        <w:rPr>
          <w:rFonts w:ascii="Arial" w:hAnsi="Arial" w:cs="Arial"/>
          <w:sz w:val="16"/>
          <w:szCs w:val="16"/>
        </w:rPr>
        <w:t xml:space="preserve">El surgimiento de un rebrote del COVID-19, el cual tendrá impactos relevantes en la recaudación de Ingresos propios y en la recaudación federal derivada </w:t>
      </w:r>
      <w:proofErr w:type="spellStart"/>
      <w:r w:rsidRPr="00DD3E47">
        <w:rPr>
          <w:rFonts w:ascii="Arial" w:hAnsi="Arial" w:cs="Arial"/>
          <w:sz w:val="16"/>
          <w:szCs w:val="16"/>
        </w:rPr>
        <w:t>de el</w:t>
      </w:r>
      <w:proofErr w:type="spellEnd"/>
      <w:r w:rsidRPr="00DD3E47">
        <w:rPr>
          <w:rFonts w:ascii="Arial" w:hAnsi="Arial" w:cs="Arial"/>
          <w:sz w:val="16"/>
          <w:szCs w:val="16"/>
        </w:rPr>
        <w:t xml:space="preserve"> esfuerzo propio del Gobierno del Estado.</w:t>
      </w:r>
    </w:p>
    <w:p w14:paraId="077B1239" w14:textId="77777777" w:rsidR="00DD3E47" w:rsidRPr="00DD3E47" w:rsidRDefault="00DD3E47" w:rsidP="00DD3E47">
      <w:pPr>
        <w:snapToGrid w:val="0"/>
        <w:spacing w:before="120" w:after="120" w:line="288" w:lineRule="auto"/>
        <w:rPr>
          <w:rFonts w:ascii="Arial" w:hAnsi="Arial" w:cs="Arial"/>
          <w:sz w:val="16"/>
          <w:szCs w:val="16"/>
        </w:rPr>
      </w:pPr>
      <w:r w:rsidRPr="00DD3E47">
        <w:rPr>
          <w:rFonts w:ascii="Arial" w:hAnsi="Arial" w:cs="Arial"/>
          <w:sz w:val="16"/>
          <w:szCs w:val="16"/>
        </w:rPr>
        <w:t xml:space="preserve">Una baja del crecimiento de la economía nacional podría ocasionar la disminución de Participaciones Federales, lo cual es una fuente importante de ingresos para esta Entidad Federativa. </w:t>
      </w:r>
    </w:p>
    <w:p w14:paraId="1776C7D0" w14:textId="77777777" w:rsidR="00DD3E47" w:rsidRPr="00DD3E47" w:rsidRDefault="00DD3E47" w:rsidP="00DD3E47">
      <w:pPr>
        <w:snapToGrid w:val="0"/>
        <w:spacing w:before="120" w:after="120" w:line="288" w:lineRule="auto"/>
        <w:rPr>
          <w:rFonts w:ascii="Arial" w:hAnsi="Arial" w:cs="Arial"/>
          <w:sz w:val="16"/>
          <w:szCs w:val="16"/>
        </w:rPr>
      </w:pPr>
      <w:r w:rsidRPr="00DD3E47">
        <w:rPr>
          <w:rFonts w:ascii="Arial" w:hAnsi="Arial" w:cs="Arial"/>
          <w:sz w:val="16"/>
          <w:szCs w:val="16"/>
        </w:rPr>
        <w:t xml:space="preserve">A su vez, una disminución del crecimiento económico estatal podría ir acompañada de una corrección a la baja en la recaudación de ingresos propios estatales, que han mostrado un dinamismo favorable durante los últimos años y que representan alrededor de </w:t>
      </w:r>
      <w:r w:rsidRPr="00DD3E47">
        <w:rPr>
          <w:rFonts w:ascii="Arial" w:hAnsi="Arial"/>
          <w:sz w:val="16"/>
          <w:szCs w:val="14"/>
        </w:rPr>
        <w:t>10</w:t>
      </w:r>
      <w:r w:rsidRPr="00DD3E47">
        <w:rPr>
          <w:rFonts w:ascii="Arial" w:hAnsi="Arial" w:cs="Arial"/>
          <w:sz w:val="16"/>
          <w:szCs w:val="16"/>
        </w:rPr>
        <w:t>% de los ingresos totales.</w:t>
      </w:r>
    </w:p>
    <w:p w14:paraId="42DC2565" w14:textId="77777777" w:rsidR="00DD3E47" w:rsidRPr="00DD3E47" w:rsidRDefault="00DD3E47" w:rsidP="00DD3E47">
      <w:pPr>
        <w:pStyle w:val="Sinespaciado"/>
        <w:snapToGrid w:val="0"/>
        <w:spacing w:before="120" w:after="120" w:line="288" w:lineRule="auto"/>
        <w:rPr>
          <w:rFonts w:ascii="Arial" w:hAnsi="Arial" w:cs="Arial"/>
          <w:sz w:val="16"/>
          <w:szCs w:val="18"/>
          <w:lang w:val="es-MX"/>
        </w:rPr>
      </w:pPr>
      <w:r w:rsidRPr="00DD3E47">
        <w:rPr>
          <w:rFonts w:ascii="Arial" w:hAnsi="Arial" w:cs="Arial"/>
          <w:sz w:val="16"/>
          <w:szCs w:val="18"/>
          <w:lang w:val="es-MX"/>
        </w:rPr>
        <w:t>Debido a la dinámica del gasto de inversión, la mayoría de las necesidades de infraestructura son financiadas por transferencias federales, de materializarse un descenso, implicaría un ajuste a la baja, con una pérdida en los avances hasta ahora logrados.</w:t>
      </w:r>
    </w:p>
    <w:p w14:paraId="12935B53" w14:textId="77777777" w:rsidR="00DD3E47" w:rsidRPr="00DD3E47" w:rsidRDefault="00DD3E47" w:rsidP="00DD3E47">
      <w:pPr>
        <w:pStyle w:val="Sinespaciado"/>
        <w:snapToGrid w:val="0"/>
        <w:spacing w:before="120" w:after="120" w:line="288" w:lineRule="auto"/>
        <w:rPr>
          <w:rFonts w:ascii="Arial" w:hAnsi="Arial" w:cs="Arial"/>
          <w:sz w:val="16"/>
          <w:szCs w:val="18"/>
          <w:lang w:val="es-MX"/>
        </w:rPr>
      </w:pPr>
      <w:r w:rsidRPr="00DD3E47">
        <w:rPr>
          <w:rFonts w:ascii="Arial" w:hAnsi="Arial" w:cs="Arial"/>
          <w:sz w:val="16"/>
          <w:szCs w:val="18"/>
          <w:lang w:val="es-MX"/>
        </w:rPr>
        <w:t xml:space="preserve">La tasa de crecimiento de la población en edad de pensionarse crece, esta situación representa un reto para la sostenibilidad de las finanzas públicas. </w:t>
      </w:r>
    </w:p>
    <w:p w14:paraId="3A234B81" w14:textId="77777777" w:rsidR="00DD3E47" w:rsidRPr="00DD3E47" w:rsidRDefault="00DD3E47" w:rsidP="00DD3E47">
      <w:pPr>
        <w:snapToGrid w:val="0"/>
        <w:spacing w:before="120" w:after="120" w:line="288" w:lineRule="auto"/>
        <w:rPr>
          <w:rFonts w:ascii="Arial" w:hAnsi="Arial" w:cs="Arial"/>
          <w:sz w:val="16"/>
          <w:szCs w:val="16"/>
        </w:rPr>
      </w:pPr>
      <w:r w:rsidRPr="00DD3E47">
        <w:rPr>
          <w:rFonts w:ascii="Arial" w:hAnsi="Arial" w:cs="Arial"/>
          <w:sz w:val="16"/>
          <w:szCs w:val="16"/>
        </w:rPr>
        <w:t>Condiciones en los mercados financieros internacionales menos favorables. Este fenómeno se traduciría en condiciones más restrictivas de financiamiento para los sectores público y privado del país, y en un deterioro en la confianza de consumidores y empresas.</w:t>
      </w:r>
    </w:p>
    <w:p w14:paraId="77147139" w14:textId="77777777" w:rsidR="00DD3E47" w:rsidRPr="00DD3E47" w:rsidRDefault="00DD3E47" w:rsidP="00DD3E47">
      <w:pPr>
        <w:snapToGrid w:val="0"/>
        <w:spacing w:before="120" w:after="120" w:line="288" w:lineRule="auto"/>
        <w:rPr>
          <w:rFonts w:ascii="Arial" w:hAnsi="Arial" w:cs="Arial"/>
          <w:sz w:val="16"/>
          <w:szCs w:val="16"/>
        </w:rPr>
      </w:pPr>
      <w:r w:rsidRPr="00DD3E47">
        <w:rPr>
          <w:rFonts w:ascii="Arial" w:hAnsi="Arial" w:cs="Arial"/>
          <w:sz w:val="16"/>
          <w:szCs w:val="16"/>
        </w:rPr>
        <w:lastRenderedPageBreak/>
        <w:t>Precios internacionales del petróleo deprimidos o un bajo dinamismo de la plataforma de producción de petróleo. Esta situación afectaría adversamente el nivel de ingresos petroleros, generando presiones a las finanzas públicas en el mediano plazo, así como a la tasa de crecimiento potencial de la economía.</w:t>
      </w:r>
    </w:p>
    <w:p w14:paraId="66487DFB" w14:textId="77777777" w:rsidR="00DD3E47" w:rsidRPr="00DD3E47" w:rsidRDefault="00DD3E47" w:rsidP="00DD3E47">
      <w:pPr>
        <w:snapToGrid w:val="0"/>
        <w:spacing w:before="120" w:after="120" w:line="288" w:lineRule="auto"/>
        <w:rPr>
          <w:rFonts w:ascii="Arial" w:hAnsi="Arial" w:cs="Arial"/>
          <w:sz w:val="16"/>
          <w:szCs w:val="16"/>
        </w:rPr>
      </w:pPr>
      <w:r w:rsidRPr="00DD3E47">
        <w:rPr>
          <w:rFonts w:ascii="Arial" w:hAnsi="Arial" w:cs="Arial"/>
          <w:sz w:val="16"/>
          <w:szCs w:val="16"/>
        </w:rPr>
        <w:t>La situación cambiante asociada a los Desastres Naturales, implica la previsión y planificación de recursos financieros para mitigar los efectos que produzcan los fenómenos naturales perturbadores.</w:t>
      </w:r>
    </w:p>
    <w:p w14:paraId="06160424" w14:textId="77777777" w:rsidR="00DD3E47" w:rsidRPr="00DD3E47" w:rsidRDefault="00DD3E47" w:rsidP="00DD3E47">
      <w:pPr>
        <w:snapToGrid w:val="0"/>
        <w:spacing w:before="120" w:after="120" w:line="288" w:lineRule="auto"/>
        <w:rPr>
          <w:rFonts w:ascii="Arial" w:hAnsi="Arial" w:cs="Arial"/>
          <w:sz w:val="16"/>
          <w:szCs w:val="16"/>
        </w:rPr>
      </w:pPr>
      <w:r w:rsidRPr="00DD3E47">
        <w:rPr>
          <w:rFonts w:ascii="Arial" w:hAnsi="Arial" w:cs="Arial"/>
          <w:sz w:val="16"/>
          <w:szCs w:val="16"/>
        </w:rPr>
        <w:t>Una disminución de la Recaudación Federal Participable (</w:t>
      </w:r>
      <w:proofErr w:type="spellStart"/>
      <w:r w:rsidRPr="00DD3E47">
        <w:rPr>
          <w:rFonts w:ascii="Arial" w:hAnsi="Arial" w:cs="Arial"/>
          <w:sz w:val="16"/>
          <w:szCs w:val="16"/>
        </w:rPr>
        <w:t>RFP</w:t>
      </w:r>
      <w:proofErr w:type="spellEnd"/>
      <w:r w:rsidRPr="00DD3E47">
        <w:rPr>
          <w:rFonts w:ascii="Arial" w:hAnsi="Arial" w:cs="Arial"/>
          <w:sz w:val="16"/>
          <w:szCs w:val="16"/>
        </w:rPr>
        <w:t xml:space="preserve">). Estipulada en el artículo primero de la Ley de Ingresos de la Federación para 2021, la cual se consideró para el cálculo de las Participaciones Federales que tienen como base la </w:t>
      </w:r>
      <w:proofErr w:type="spellStart"/>
      <w:r w:rsidRPr="00DD3E47">
        <w:rPr>
          <w:rFonts w:ascii="Arial" w:hAnsi="Arial" w:cs="Arial"/>
          <w:sz w:val="16"/>
          <w:szCs w:val="16"/>
        </w:rPr>
        <w:t>RFP</w:t>
      </w:r>
      <w:proofErr w:type="spellEnd"/>
      <w:r w:rsidRPr="00DD3E47">
        <w:rPr>
          <w:rFonts w:ascii="Arial" w:hAnsi="Arial" w:cs="Arial"/>
          <w:sz w:val="16"/>
          <w:szCs w:val="16"/>
        </w:rPr>
        <w:t>, el impacto será proporcional a la caída que registre este concepto.</w:t>
      </w:r>
    </w:p>
    <w:p w14:paraId="15A99985" w14:textId="77777777" w:rsidR="00DD3E47" w:rsidRPr="00DD3E47" w:rsidRDefault="00DD3E47" w:rsidP="00DD3E47">
      <w:pPr>
        <w:snapToGrid w:val="0"/>
        <w:spacing w:before="120" w:after="120" w:line="288" w:lineRule="auto"/>
        <w:rPr>
          <w:rFonts w:ascii="Arial" w:hAnsi="Arial" w:cs="Arial"/>
          <w:sz w:val="16"/>
          <w:szCs w:val="16"/>
        </w:rPr>
      </w:pPr>
      <w:r w:rsidRPr="00DD3E47">
        <w:rPr>
          <w:rFonts w:ascii="Arial" w:hAnsi="Arial" w:cs="Arial"/>
          <w:sz w:val="16"/>
          <w:szCs w:val="16"/>
        </w:rPr>
        <w:t>Una caída en los coeficientes de distribución. Aunque el Gobierno del Estado realiza un esfuerzo por mantener la recaudación de ingresos por impuestos y derechos que forman parte de la distribución del 40% del excedente de las Participaciones Federales derivadas del Fondo General de Participaciones, existen factores ajenos que no se pueden controlar, como la recaudación municipal del impuesto predial y los derechos de agua, así como de los ingresos que obtengan las otras entidades en estos cuatro conceptos.</w:t>
      </w:r>
    </w:p>
    <w:p w14:paraId="26733EE3" w14:textId="77777777" w:rsidR="00DD3E47" w:rsidRPr="00DD3E47" w:rsidRDefault="00DD3E47" w:rsidP="00DD3E47">
      <w:pPr>
        <w:snapToGrid w:val="0"/>
        <w:spacing w:before="120" w:after="120" w:line="288" w:lineRule="auto"/>
        <w:rPr>
          <w:rFonts w:ascii="Arial" w:hAnsi="Arial" w:cs="Arial"/>
          <w:sz w:val="16"/>
          <w:szCs w:val="16"/>
        </w:rPr>
      </w:pPr>
      <w:r w:rsidRPr="00DD3E47">
        <w:rPr>
          <w:rFonts w:ascii="Arial" w:hAnsi="Arial" w:cs="Arial"/>
          <w:sz w:val="16"/>
          <w:szCs w:val="16"/>
        </w:rPr>
        <w:t>Una caída en el dinamismo de la economía nacional y estatal. Esta disminución tendrá un impacto importante en la recaudación de los impuestos y derechos que cobra el Gobierno del Estado.</w:t>
      </w:r>
    </w:p>
    <w:p w14:paraId="1D617FED" w14:textId="77777777" w:rsidR="001117C9" w:rsidRDefault="001117C9" w:rsidP="004967CF">
      <w:pPr>
        <w:rPr>
          <w:rFonts w:ascii="Arial" w:hAnsi="Arial" w:cs="Arial"/>
          <w:sz w:val="16"/>
          <w:szCs w:val="16"/>
        </w:rPr>
      </w:pPr>
    </w:p>
    <w:p w14:paraId="40756630" w14:textId="77777777" w:rsidR="001117C9" w:rsidRPr="00B91A8F" w:rsidRDefault="001117C9" w:rsidP="004967CF">
      <w:pPr>
        <w:rPr>
          <w:rFonts w:ascii="Arial" w:hAnsi="Arial" w:cs="Arial"/>
          <w:sz w:val="16"/>
          <w:szCs w:val="16"/>
        </w:rPr>
      </w:pPr>
    </w:p>
    <w:sectPr w:rsidR="001117C9" w:rsidRPr="00B91A8F" w:rsidSect="006E08B9">
      <w:headerReference w:type="default" r:id="rId7"/>
      <w:pgSz w:w="15840" w:h="12240" w:orient="landscape"/>
      <w:pgMar w:top="1134" w:right="680"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EF0886" w14:textId="77777777" w:rsidR="00EF5EAA" w:rsidRDefault="00EF5EAA" w:rsidP="00B10A2A">
      <w:pPr>
        <w:spacing w:after="0" w:line="240" w:lineRule="auto"/>
      </w:pPr>
      <w:r>
        <w:separator/>
      </w:r>
    </w:p>
  </w:endnote>
  <w:endnote w:type="continuationSeparator" w:id="0">
    <w:p w14:paraId="7DCA3776" w14:textId="77777777" w:rsidR="00EF5EAA" w:rsidRDefault="00EF5EAA" w:rsidP="00B10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DC407B" w14:textId="77777777" w:rsidR="00EF5EAA" w:rsidRDefault="00EF5EAA" w:rsidP="00B10A2A">
      <w:pPr>
        <w:spacing w:after="0" w:line="240" w:lineRule="auto"/>
      </w:pPr>
      <w:r>
        <w:separator/>
      </w:r>
    </w:p>
  </w:footnote>
  <w:footnote w:type="continuationSeparator" w:id="0">
    <w:p w14:paraId="3C084410" w14:textId="77777777" w:rsidR="00EF5EAA" w:rsidRDefault="00EF5EAA" w:rsidP="00B10A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8A425" w14:textId="77777777" w:rsidR="006E08B9" w:rsidRDefault="002B166D">
    <w:pPr>
      <w:pStyle w:val="Encabezado"/>
      <w:rPr>
        <w:noProof/>
      </w:rPr>
    </w:pPr>
    <w:r>
      <w:rPr>
        <w:noProof/>
      </w:rPr>
      <mc:AlternateContent>
        <mc:Choice Requires="wps">
          <w:drawing>
            <wp:anchor distT="0" distB="0" distL="114300" distR="114300" simplePos="0" relativeHeight="251663360" behindDoc="0" locked="0" layoutInCell="1" allowOverlap="1" wp14:anchorId="72E5441D" wp14:editId="6072FAAE">
              <wp:simplePos x="0" y="0"/>
              <wp:positionH relativeFrom="column">
                <wp:posOffset>-133350</wp:posOffset>
              </wp:positionH>
              <wp:positionV relativeFrom="paragraph">
                <wp:posOffset>73660</wp:posOffset>
              </wp:positionV>
              <wp:extent cx="838200" cy="1123950"/>
              <wp:effectExtent l="0" t="0" r="0" b="0"/>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1123950"/>
                      </a:xfrm>
                      <a:prstGeom prst="rect">
                        <a:avLst/>
                      </a:prstGeom>
                      <a:solidFill>
                        <a:srgbClr val="FFFFFF"/>
                      </a:solidFill>
                      <a:ln w="9525">
                        <a:noFill/>
                        <a:miter lim="800000"/>
                        <a:headEnd/>
                        <a:tailEnd/>
                      </a:ln>
                    </wps:spPr>
                    <wps:txbx>
                      <w:txbxContent>
                        <w:p w14:paraId="2FAC3E44" w14:textId="77777777" w:rsidR="006E08B9" w:rsidRDefault="006E08B9">
                          <w:r>
                            <w:rPr>
                              <w:noProof/>
                            </w:rPr>
                            <w:drawing>
                              <wp:inline distT="0" distB="0" distL="0" distR="0" wp14:anchorId="586DF923" wp14:editId="0DFB8DA2">
                                <wp:extent cx="695325" cy="971550"/>
                                <wp:effectExtent l="0" t="0" r="0" b="0"/>
                                <wp:docPr id="5"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n 2"/>
                                        <pic:cNvPicPr>
                                          <a:picLocks/>
                                        </pic:cNvPicPr>
                                      </pic:nvPicPr>
                                      <pic:blipFill rotWithShape="1">
                                        <a:blip r:embed="rId1" cstate="print"/>
                                        <a:srcRect l="30058" t="-2622" r="23699" b="350"/>
                                        <a:stretch/>
                                      </pic:blipFill>
                                      <pic:spPr>
                                        <a:xfrm>
                                          <a:off x="0" y="0"/>
                                          <a:ext cx="695325" cy="97155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E5441D" id="_x0000_t202" coordsize="21600,21600" o:spt="202" path="m,l,21600r21600,l21600,xe">
              <v:stroke joinstyle="miter"/>
              <v:path gradientshapeok="t" o:connecttype="rect"/>
            </v:shapetype>
            <v:shape id="Cuadro de texto 2" o:spid="_x0000_s1026" type="#_x0000_t202" style="position:absolute;margin-left:-10.5pt;margin-top:5.8pt;width:66pt;height:8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" stroked="f">
              <v:textbox>
                <w:txbxContent>
                  <w:p w14:paraId="2FAC3E44" w14:textId="77777777" w:rsidR="006E08B9" w:rsidRDefault="006E08B9">
                    <w:r>
                      <w:rPr>
                        <w:noProof/>
                      </w:rPr>
                      <w:drawing>
                        <wp:inline distT="0" distB="0" distL="0" distR="0" wp14:anchorId="586DF923" wp14:editId="0DFB8DA2">
                          <wp:extent cx="695325" cy="971550"/>
                          <wp:effectExtent l="0" t="0" r="0" b="0"/>
                          <wp:docPr id="5"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n 2"/>
                                  <pic:cNvPicPr>
                                    <a:picLocks/>
                                  </pic:cNvPicPr>
                                </pic:nvPicPr>
                                <pic:blipFill rotWithShape="1">
                                  <a:blip r:embed="rId1" cstate="print"/>
                                  <a:srcRect l="30058" t="-2622" r="23699" b="350"/>
                                  <a:stretch/>
                                </pic:blipFill>
                                <pic:spPr>
                                  <a:xfrm>
                                    <a:off x="0" y="0"/>
                                    <a:ext cx="695325" cy="971550"/>
                                  </a:xfrm>
                                  <a:prstGeom prst="rect">
                                    <a:avLst/>
                                  </a:prstGeom>
                                </pic:spPr>
                              </pic:pic>
                            </a:graphicData>
                          </a:graphic>
                        </wp:inline>
                      </w:drawing>
                    </w:r>
                  </w:p>
                </w:txbxContent>
              </v:textbox>
            </v:shape>
          </w:pict>
        </mc:Fallback>
      </mc:AlternateContent>
    </w:r>
  </w:p>
  <w:p w14:paraId="4A1DDE15" w14:textId="77777777" w:rsidR="006E08B9" w:rsidRDefault="006E08B9">
    <w:pPr>
      <w:pStyle w:val="Encabezado"/>
      <w:rPr>
        <w:noProof/>
      </w:rPr>
    </w:pPr>
  </w:p>
  <w:p w14:paraId="76DD9FC5" w14:textId="77777777" w:rsidR="006E08B9" w:rsidRDefault="006E08B9">
    <w:pPr>
      <w:pStyle w:val="Encabezado"/>
      <w:rPr>
        <w:noProof/>
      </w:rPr>
    </w:pPr>
  </w:p>
  <w:p w14:paraId="2F474819" w14:textId="77777777" w:rsidR="006E08B9" w:rsidRDefault="002B166D">
    <w:pPr>
      <w:pStyle w:val="Encabezado"/>
      <w:rPr>
        <w:noProof/>
      </w:rPr>
    </w:pPr>
    <w:r>
      <w:rPr>
        <w:noProof/>
      </w:rPr>
      <mc:AlternateContent>
        <mc:Choice Requires="wps">
          <w:drawing>
            <wp:anchor distT="0" distB="0" distL="114300" distR="114300" simplePos="0" relativeHeight="251659264" behindDoc="0" locked="0" layoutInCell="1" allowOverlap="1" wp14:anchorId="3607BFA6" wp14:editId="6250265C">
              <wp:simplePos x="0" y="0"/>
              <wp:positionH relativeFrom="column">
                <wp:posOffset>647065</wp:posOffset>
              </wp:positionH>
              <wp:positionV relativeFrom="paragraph">
                <wp:posOffset>103505</wp:posOffset>
              </wp:positionV>
              <wp:extent cx="3562350" cy="285750"/>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285750"/>
                      </a:xfrm>
                      <a:prstGeom prst="rect">
                        <a:avLst/>
                      </a:prstGeom>
                      <a:solidFill>
                        <a:srgbClr val="FFFFFF"/>
                      </a:solidFill>
                      <a:ln w="9525">
                        <a:noFill/>
                        <a:miter lim="800000"/>
                        <a:headEnd/>
                        <a:tailEnd/>
                      </a:ln>
                    </wps:spPr>
                    <wps:txbx>
                      <w:txbxContent>
                        <w:p w14:paraId="343641C0" w14:textId="77777777" w:rsidR="006E1F0E" w:rsidRPr="00994F06" w:rsidRDefault="006E1F0E">
                          <w:pPr>
                            <w:rPr>
                              <w:rFonts w:ascii="Arial" w:hAnsi="Arial" w:cs="Arial"/>
                              <w:b/>
                              <w:color w:val="861D31"/>
                              <w:sz w:val="26"/>
                              <w:szCs w:val="26"/>
                            </w:rPr>
                          </w:pPr>
                          <w:r w:rsidRPr="00994F06">
                            <w:rPr>
                              <w:rFonts w:ascii="Arial" w:hAnsi="Arial" w:cs="Arial"/>
                              <w:b/>
                              <w:color w:val="861D31"/>
                              <w:sz w:val="26"/>
                              <w:szCs w:val="26"/>
                            </w:rPr>
                            <w:t>Anexo 5</w:t>
                          </w:r>
                          <w:r w:rsidR="00191553">
                            <w:rPr>
                              <w:rFonts w:ascii="Arial" w:hAnsi="Arial" w:cs="Arial"/>
                              <w:b/>
                              <w:color w:val="861D31"/>
                              <w:sz w:val="26"/>
                              <w:szCs w:val="26"/>
                            </w:rPr>
                            <w:t>3</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607BFA6" id="_x0000_s1027" type="#_x0000_t202" style="position:absolute;margin-left:50.95pt;margin-top:8.15pt;width:280.5pt;height:22.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" stroked="f">
              <v:textbox>
                <w:txbxContent>
                  <w:p w14:paraId="343641C0" w14:textId="77777777" w:rsidR="006E1F0E" w:rsidRPr="00994F06" w:rsidRDefault="006E1F0E">
                    <w:pPr>
                      <w:rPr>
                        <w:rFonts w:ascii="Arial" w:hAnsi="Arial" w:cs="Arial"/>
                        <w:b/>
                        <w:color w:val="861D31"/>
                        <w:sz w:val="26"/>
                        <w:szCs w:val="26"/>
                      </w:rPr>
                    </w:pPr>
                    <w:r w:rsidRPr="00994F06">
                      <w:rPr>
                        <w:rFonts w:ascii="Arial" w:hAnsi="Arial" w:cs="Arial"/>
                        <w:b/>
                        <w:color w:val="861D31"/>
                        <w:sz w:val="26"/>
                        <w:szCs w:val="26"/>
                      </w:rPr>
                      <w:t>Anexo 5</w:t>
                    </w:r>
                    <w:r w:rsidR="00191553">
                      <w:rPr>
                        <w:rFonts w:ascii="Arial" w:hAnsi="Arial" w:cs="Arial"/>
                        <w:b/>
                        <w:color w:val="861D31"/>
                        <w:sz w:val="26"/>
                        <w:szCs w:val="26"/>
                      </w:rPr>
                      <w:t>3</w:t>
                    </w:r>
                  </w:p>
                </w:txbxContent>
              </v:textbox>
            </v:shape>
          </w:pict>
        </mc:Fallback>
      </mc:AlternateContent>
    </w:r>
  </w:p>
  <w:p w14:paraId="5CA5A08D" w14:textId="77777777" w:rsidR="006E08B9" w:rsidRDefault="002B166D">
    <w:pPr>
      <w:pStyle w:val="Encabezado"/>
      <w:rPr>
        <w:noProof/>
      </w:rPr>
    </w:pPr>
    <w:r>
      <w:rPr>
        <w:noProof/>
      </w:rPr>
      <mc:AlternateContent>
        <mc:Choice Requires="wps">
          <w:drawing>
            <wp:anchor distT="0" distB="0" distL="114300" distR="114300" simplePos="0" relativeHeight="251661312" behindDoc="0" locked="0" layoutInCell="1" allowOverlap="1" wp14:anchorId="37DC7635" wp14:editId="1FAFA07A">
              <wp:simplePos x="0" y="0"/>
              <wp:positionH relativeFrom="column">
                <wp:posOffset>651510</wp:posOffset>
              </wp:positionH>
              <wp:positionV relativeFrom="paragraph">
                <wp:posOffset>163195</wp:posOffset>
              </wp:positionV>
              <wp:extent cx="7029450" cy="342900"/>
              <wp:effectExtent l="0" t="0" r="0" b="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342900"/>
                      </a:xfrm>
                      <a:prstGeom prst="rect">
                        <a:avLst/>
                      </a:prstGeom>
                      <a:solidFill>
                        <a:srgbClr val="FFFFFF"/>
                      </a:solidFill>
                      <a:ln w="9525">
                        <a:noFill/>
                        <a:miter lim="800000"/>
                        <a:headEnd/>
                        <a:tailEnd/>
                      </a:ln>
                    </wps:spPr>
                    <wps:txbx>
                      <w:txbxContent>
                        <w:p w14:paraId="338BF1DB" w14:textId="77777777" w:rsidR="006E1F0E" w:rsidRPr="00994F06" w:rsidRDefault="006E1F0E" w:rsidP="006E1F0E">
                          <w:pPr>
                            <w:rPr>
                              <w:rFonts w:ascii="Arial" w:hAnsi="Arial" w:cs="Arial"/>
                              <w:b/>
                              <w:color w:val="861D31"/>
                              <w:sz w:val="26"/>
                              <w:szCs w:val="26"/>
                            </w:rPr>
                          </w:pPr>
                          <w:r w:rsidRPr="00994F06">
                            <w:rPr>
                              <w:rFonts w:ascii="Arial" w:hAnsi="Arial" w:cs="Arial"/>
                              <w:b/>
                              <w:color w:val="861D31"/>
                              <w:sz w:val="26"/>
                              <w:szCs w:val="26"/>
                            </w:rPr>
                            <w:t>Objetivos Anuales</w:t>
                          </w:r>
                          <w:r w:rsidR="006E08B9">
                            <w:rPr>
                              <w:rFonts w:ascii="Arial" w:hAnsi="Arial" w:cs="Arial"/>
                              <w:b/>
                              <w:color w:val="861D31"/>
                              <w:sz w:val="26"/>
                              <w:szCs w:val="26"/>
                            </w:rPr>
                            <w:t>, Estrategias, Metas y</w:t>
                          </w:r>
                          <w:r w:rsidRPr="00994F06">
                            <w:rPr>
                              <w:rFonts w:ascii="Arial" w:hAnsi="Arial" w:cs="Arial"/>
                              <w:b/>
                              <w:color w:val="861D31"/>
                              <w:sz w:val="26"/>
                              <w:szCs w:val="26"/>
                            </w:rPr>
                            <w:t xml:space="preserve"> </w:t>
                          </w:r>
                          <w:r w:rsidR="00B91A8F">
                            <w:rPr>
                              <w:rFonts w:ascii="Arial" w:hAnsi="Arial" w:cs="Arial"/>
                              <w:b/>
                              <w:color w:val="861D31"/>
                              <w:sz w:val="26"/>
                              <w:szCs w:val="26"/>
                            </w:rPr>
                            <w:t>Riesgos Relevantes de los In</w:t>
                          </w:r>
                          <w:r w:rsidR="006E08B9">
                            <w:rPr>
                              <w:rFonts w:ascii="Arial" w:hAnsi="Arial" w:cs="Arial"/>
                              <w:b/>
                              <w:color w:val="861D31"/>
                              <w:sz w:val="26"/>
                              <w:szCs w:val="26"/>
                            </w:rPr>
                            <w:t>gresos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DC7635" id="_x0000_s1028" type="#_x0000_t202" style="position:absolute;margin-left:51.3pt;margin-top:12.85pt;width:553.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" stroked="f">
              <v:textbox>
                <w:txbxContent>
                  <w:p w14:paraId="338BF1DB" w14:textId="77777777" w:rsidR="006E1F0E" w:rsidRPr="00994F06" w:rsidRDefault="006E1F0E" w:rsidP="006E1F0E">
                    <w:pPr>
                      <w:rPr>
                        <w:rFonts w:ascii="Arial" w:hAnsi="Arial" w:cs="Arial"/>
                        <w:b/>
                        <w:color w:val="861D31"/>
                        <w:sz w:val="26"/>
                        <w:szCs w:val="26"/>
                      </w:rPr>
                    </w:pPr>
                    <w:r w:rsidRPr="00994F06">
                      <w:rPr>
                        <w:rFonts w:ascii="Arial" w:hAnsi="Arial" w:cs="Arial"/>
                        <w:b/>
                        <w:color w:val="861D31"/>
                        <w:sz w:val="26"/>
                        <w:szCs w:val="26"/>
                      </w:rPr>
                      <w:t>Objetivos Anuales</w:t>
                    </w:r>
                    <w:r w:rsidR="006E08B9">
                      <w:rPr>
                        <w:rFonts w:ascii="Arial" w:hAnsi="Arial" w:cs="Arial"/>
                        <w:b/>
                        <w:color w:val="861D31"/>
                        <w:sz w:val="26"/>
                        <w:szCs w:val="26"/>
                      </w:rPr>
                      <w:t>, Estrategias, Metas y</w:t>
                    </w:r>
                    <w:r w:rsidRPr="00994F06">
                      <w:rPr>
                        <w:rFonts w:ascii="Arial" w:hAnsi="Arial" w:cs="Arial"/>
                        <w:b/>
                        <w:color w:val="861D31"/>
                        <w:sz w:val="26"/>
                        <w:szCs w:val="26"/>
                      </w:rPr>
                      <w:t xml:space="preserve"> </w:t>
                    </w:r>
                    <w:r w:rsidR="00B91A8F">
                      <w:rPr>
                        <w:rFonts w:ascii="Arial" w:hAnsi="Arial" w:cs="Arial"/>
                        <w:b/>
                        <w:color w:val="861D31"/>
                        <w:sz w:val="26"/>
                        <w:szCs w:val="26"/>
                      </w:rPr>
                      <w:t>Riesgos Relevantes de los In</w:t>
                    </w:r>
                    <w:r w:rsidR="006E08B9">
                      <w:rPr>
                        <w:rFonts w:ascii="Arial" w:hAnsi="Arial" w:cs="Arial"/>
                        <w:b/>
                        <w:color w:val="861D31"/>
                        <w:sz w:val="26"/>
                        <w:szCs w:val="26"/>
                      </w:rPr>
                      <w:t>gresos</w:t>
                    </w:r>
                  </w:p>
                </w:txbxContent>
              </v:textbox>
            </v:shape>
          </w:pict>
        </mc:Fallback>
      </mc:AlternateContent>
    </w:r>
  </w:p>
  <w:p w14:paraId="590D2746" w14:textId="77777777" w:rsidR="006E08B9" w:rsidRDefault="006E08B9">
    <w:pPr>
      <w:pStyle w:val="Encabezado"/>
      <w:rPr>
        <w:noProof/>
        <w:sz w:val="4"/>
        <w:szCs w:val="4"/>
      </w:rPr>
    </w:pPr>
  </w:p>
  <w:p w14:paraId="68A89167" w14:textId="77777777" w:rsidR="006E08B9" w:rsidRDefault="006E08B9">
    <w:pPr>
      <w:pStyle w:val="Encabezado"/>
      <w:rPr>
        <w:noProof/>
        <w:sz w:val="4"/>
        <w:szCs w:val="4"/>
      </w:rPr>
    </w:pPr>
  </w:p>
  <w:p w14:paraId="25DF089E" w14:textId="77777777" w:rsidR="006E08B9" w:rsidRDefault="006E08B9">
    <w:pPr>
      <w:pStyle w:val="Encabezado"/>
      <w:rPr>
        <w:noProof/>
        <w:sz w:val="4"/>
        <w:szCs w:val="4"/>
      </w:rPr>
    </w:pPr>
  </w:p>
  <w:p w14:paraId="785A53F6" w14:textId="77777777" w:rsidR="006E08B9" w:rsidRDefault="006E08B9">
    <w:pPr>
      <w:pStyle w:val="Encabezado"/>
      <w:rPr>
        <w:noProof/>
        <w:sz w:val="4"/>
        <w:szCs w:val="4"/>
      </w:rPr>
    </w:pPr>
  </w:p>
  <w:p w14:paraId="3C53F7E8" w14:textId="77777777" w:rsidR="000C6BFE" w:rsidRPr="006E08B9" w:rsidRDefault="006E1F0E">
    <w:pPr>
      <w:pStyle w:val="Encabezado"/>
      <w:rPr>
        <w:noProof/>
      </w:rPr>
    </w:pPr>
    <w:r>
      <w:t xml:space="preserve">      </w:t>
    </w:r>
    <w:r w:rsidR="006E08B9">
      <w:rPr>
        <w:rFonts w:ascii="Arial" w:hAnsi="Arial" w:cs="Arial"/>
        <w:b/>
        <w:color w:val="861D31"/>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7B25DB"/>
    <w:multiLevelType w:val="hybridMultilevel"/>
    <w:tmpl w:val="444A59D2"/>
    <w:lvl w:ilvl="0" w:tplc="CD246A1E">
      <w:start w:val="1"/>
      <w:numFmt w:val="bullet"/>
      <w:lvlText w:val=""/>
      <w:lvlJc w:val="left"/>
      <w:pPr>
        <w:ind w:left="720" w:hanging="360"/>
      </w:pPr>
      <w:rPr>
        <w:rFonts w:ascii="Wingdings 2" w:hAnsi="Wingdings 2"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7F885FCA"/>
    <w:multiLevelType w:val="hybridMultilevel"/>
    <w:tmpl w:val="3D569522"/>
    <w:lvl w:ilvl="0" w:tplc="CD246A1E">
      <w:start w:val="1"/>
      <w:numFmt w:val="bullet"/>
      <w:lvlText w:val=""/>
      <w:lvlJc w:val="left"/>
      <w:pPr>
        <w:ind w:left="720" w:hanging="360"/>
      </w:pPr>
      <w:rPr>
        <w:rFonts w:ascii="Wingdings 2" w:hAnsi="Wingdings 2"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1763"/>
    <w:rsid w:val="00022FC5"/>
    <w:rsid w:val="00027D69"/>
    <w:rsid w:val="00036E61"/>
    <w:rsid w:val="00053048"/>
    <w:rsid w:val="00053540"/>
    <w:rsid w:val="0007428E"/>
    <w:rsid w:val="000A5C3C"/>
    <w:rsid w:val="000C6BFE"/>
    <w:rsid w:val="000D1923"/>
    <w:rsid w:val="000F114D"/>
    <w:rsid w:val="000F666E"/>
    <w:rsid w:val="001117C9"/>
    <w:rsid w:val="00127443"/>
    <w:rsid w:val="00154B33"/>
    <w:rsid w:val="001618F9"/>
    <w:rsid w:val="0017493D"/>
    <w:rsid w:val="00191553"/>
    <w:rsid w:val="001C4E0F"/>
    <w:rsid w:val="001D562B"/>
    <w:rsid w:val="001E190F"/>
    <w:rsid w:val="00222FDC"/>
    <w:rsid w:val="0023259B"/>
    <w:rsid w:val="002342D4"/>
    <w:rsid w:val="002378B8"/>
    <w:rsid w:val="00275AF9"/>
    <w:rsid w:val="002B166D"/>
    <w:rsid w:val="002C2685"/>
    <w:rsid w:val="002D6C9C"/>
    <w:rsid w:val="002F56C9"/>
    <w:rsid w:val="003407E6"/>
    <w:rsid w:val="00346B37"/>
    <w:rsid w:val="003A5DD4"/>
    <w:rsid w:val="003A7B49"/>
    <w:rsid w:val="003B0294"/>
    <w:rsid w:val="003B5E0F"/>
    <w:rsid w:val="003C1219"/>
    <w:rsid w:val="003C5137"/>
    <w:rsid w:val="0041039A"/>
    <w:rsid w:val="00421AA0"/>
    <w:rsid w:val="004456CC"/>
    <w:rsid w:val="00473164"/>
    <w:rsid w:val="00477104"/>
    <w:rsid w:val="0047756B"/>
    <w:rsid w:val="004806C1"/>
    <w:rsid w:val="004921F4"/>
    <w:rsid w:val="004967CF"/>
    <w:rsid w:val="004D24D2"/>
    <w:rsid w:val="004F6090"/>
    <w:rsid w:val="00507AFD"/>
    <w:rsid w:val="00511F14"/>
    <w:rsid w:val="00560BEB"/>
    <w:rsid w:val="00576B4A"/>
    <w:rsid w:val="005A303B"/>
    <w:rsid w:val="005D1B30"/>
    <w:rsid w:val="005E543D"/>
    <w:rsid w:val="005F07D1"/>
    <w:rsid w:val="00601C4D"/>
    <w:rsid w:val="00602C62"/>
    <w:rsid w:val="00605349"/>
    <w:rsid w:val="00643169"/>
    <w:rsid w:val="0065398C"/>
    <w:rsid w:val="006726F9"/>
    <w:rsid w:val="006A6041"/>
    <w:rsid w:val="006E08B9"/>
    <w:rsid w:val="006E1F0E"/>
    <w:rsid w:val="0070209D"/>
    <w:rsid w:val="007023CF"/>
    <w:rsid w:val="007600AE"/>
    <w:rsid w:val="007936CF"/>
    <w:rsid w:val="007D726A"/>
    <w:rsid w:val="007E737C"/>
    <w:rsid w:val="007F32F4"/>
    <w:rsid w:val="008145CC"/>
    <w:rsid w:val="00841220"/>
    <w:rsid w:val="008738AE"/>
    <w:rsid w:val="00873F22"/>
    <w:rsid w:val="00875010"/>
    <w:rsid w:val="008B4312"/>
    <w:rsid w:val="008D330B"/>
    <w:rsid w:val="00916E18"/>
    <w:rsid w:val="0093296D"/>
    <w:rsid w:val="00994F06"/>
    <w:rsid w:val="009B6409"/>
    <w:rsid w:val="009D538E"/>
    <w:rsid w:val="009E6E1A"/>
    <w:rsid w:val="00A30B7C"/>
    <w:rsid w:val="00A337FD"/>
    <w:rsid w:val="00A731B1"/>
    <w:rsid w:val="00A75289"/>
    <w:rsid w:val="00AA64E4"/>
    <w:rsid w:val="00AC3029"/>
    <w:rsid w:val="00AD67EE"/>
    <w:rsid w:val="00AE3ED7"/>
    <w:rsid w:val="00B03DFF"/>
    <w:rsid w:val="00B10A2A"/>
    <w:rsid w:val="00B33449"/>
    <w:rsid w:val="00B851EB"/>
    <w:rsid w:val="00B91A8F"/>
    <w:rsid w:val="00BC5DD4"/>
    <w:rsid w:val="00BF4408"/>
    <w:rsid w:val="00C35ABB"/>
    <w:rsid w:val="00C5658F"/>
    <w:rsid w:val="00C94F3D"/>
    <w:rsid w:val="00CC1763"/>
    <w:rsid w:val="00CE6753"/>
    <w:rsid w:val="00D16A26"/>
    <w:rsid w:val="00D41ACD"/>
    <w:rsid w:val="00D502F4"/>
    <w:rsid w:val="00DD3E47"/>
    <w:rsid w:val="00DE252A"/>
    <w:rsid w:val="00E22658"/>
    <w:rsid w:val="00E32D48"/>
    <w:rsid w:val="00E50E20"/>
    <w:rsid w:val="00E7607D"/>
    <w:rsid w:val="00E84F11"/>
    <w:rsid w:val="00E86A9D"/>
    <w:rsid w:val="00EC23B5"/>
    <w:rsid w:val="00EC2D5C"/>
    <w:rsid w:val="00EC426D"/>
    <w:rsid w:val="00ED4341"/>
    <w:rsid w:val="00EF5EAA"/>
    <w:rsid w:val="00F10191"/>
    <w:rsid w:val="00F40557"/>
    <w:rsid w:val="00F431C5"/>
    <w:rsid w:val="00F50918"/>
    <w:rsid w:val="00F5632D"/>
    <w:rsid w:val="00F9229F"/>
    <w:rsid w:val="00F97B44"/>
    <w:rsid w:val="00FF3E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10F141"/>
  <w15:docId w15:val="{0052593B-B9F1-4C46-94AF-D3855047C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C176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C1763"/>
    <w:rPr>
      <w:rFonts w:ascii="Tahoma" w:hAnsi="Tahoma" w:cs="Tahoma"/>
      <w:sz w:val="16"/>
      <w:szCs w:val="16"/>
    </w:rPr>
  </w:style>
  <w:style w:type="table" w:styleId="Tablaconcuadrcula">
    <w:name w:val="Table Grid"/>
    <w:basedOn w:val="Tablanormal"/>
    <w:uiPriority w:val="59"/>
    <w:rsid w:val="0042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10A2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10A2A"/>
  </w:style>
  <w:style w:type="paragraph" w:styleId="Piedepgina">
    <w:name w:val="footer"/>
    <w:basedOn w:val="Normal"/>
    <w:link w:val="PiedepginaCar"/>
    <w:uiPriority w:val="99"/>
    <w:unhideWhenUsed/>
    <w:rsid w:val="00B10A2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10A2A"/>
  </w:style>
  <w:style w:type="paragraph" w:styleId="Prrafodelista">
    <w:name w:val="List Paragraph"/>
    <w:basedOn w:val="Normal"/>
    <w:uiPriority w:val="34"/>
    <w:qFormat/>
    <w:rsid w:val="00DD3E47"/>
    <w:pPr>
      <w:spacing w:before="240" w:after="160"/>
      <w:ind w:left="720"/>
      <w:contextualSpacing/>
      <w:jc w:val="both"/>
    </w:pPr>
    <w:rPr>
      <w:rFonts w:ascii="Calibri" w:eastAsia="Calibri" w:hAnsi="Calibri" w:cs="Times New Roman"/>
      <w:lang w:eastAsia="en-US"/>
    </w:rPr>
  </w:style>
  <w:style w:type="paragraph" w:styleId="Sinespaciado">
    <w:name w:val="No Spacing"/>
    <w:uiPriority w:val="1"/>
    <w:qFormat/>
    <w:rsid w:val="00DD3E47"/>
    <w:pPr>
      <w:spacing w:after="0" w:line="240" w:lineRule="auto"/>
      <w:jc w:val="both"/>
    </w:pPr>
    <w:rPr>
      <w:rFonts w:ascii="Calibri" w:eastAsia="Calibri" w:hAnsi="Calibri" w:cs="Times New Roman"/>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1094</Words>
  <Characters>6020</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ramon rodelo</cp:lastModifiedBy>
  <cp:revision>4</cp:revision>
  <cp:lastPrinted>2019-11-20T21:26:00Z</cp:lastPrinted>
  <dcterms:created xsi:type="dcterms:W3CDTF">2019-11-21T19:03:00Z</dcterms:created>
  <dcterms:modified xsi:type="dcterms:W3CDTF">2020-11-23T22:13:00Z</dcterms:modified>
</cp:coreProperties>
</file>