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2"/>
      </w:tblGrid>
      <w:tr w:rsidR="006E1F0E" w:rsidTr="00605349">
        <w:trPr>
          <w:trHeight w:val="374"/>
        </w:trPr>
        <w:tc>
          <w:tcPr>
            <w:tcW w:w="14242" w:type="dxa"/>
            <w:shd w:val="clear" w:color="auto" w:fill="861D31"/>
            <w:vAlign w:val="center"/>
          </w:tcPr>
          <w:p w:rsidR="006E1F0E" w:rsidRPr="00916E18" w:rsidRDefault="006E1F0E" w:rsidP="000C6BFE">
            <w:pPr>
              <w:rPr>
                <w:rFonts w:ascii="Arial" w:hAnsi="Arial" w:cs="Arial"/>
                <w:b/>
                <w:color w:val="FFFFFF" w:themeColor="background1"/>
                <w:sz w:val="18"/>
                <w:szCs w:val="18"/>
              </w:rPr>
            </w:pPr>
            <w:r w:rsidRPr="00421AA0">
              <w:rPr>
                <w:rFonts w:ascii="Arial" w:hAnsi="Arial" w:cs="Arial"/>
                <w:b/>
                <w:color w:val="FFFFFF" w:themeColor="background1"/>
                <w:sz w:val="18"/>
                <w:szCs w:val="18"/>
              </w:rPr>
              <w:t>Concepto</w:t>
            </w:r>
          </w:p>
        </w:tc>
      </w:tr>
      <w:tr w:rsidR="006E1F0E" w:rsidRPr="00916E18" w:rsidTr="00605349">
        <w:trPr>
          <w:trHeight w:val="374"/>
        </w:trPr>
        <w:tc>
          <w:tcPr>
            <w:tcW w:w="14242" w:type="dxa"/>
            <w:shd w:val="clear" w:color="auto" w:fill="81776F"/>
            <w:vAlign w:val="center"/>
          </w:tcPr>
          <w:p w:rsidR="006E1F0E" w:rsidRPr="00916E18" w:rsidRDefault="006E1F0E" w:rsidP="000C6BFE">
            <w:pPr>
              <w:rPr>
                <w:rFonts w:ascii="Arial" w:hAnsi="Arial" w:cs="Arial"/>
                <w:b/>
                <w:color w:val="FFFFFF" w:themeColor="background1"/>
                <w:sz w:val="18"/>
                <w:szCs w:val="18"/>
              </w:rPr>
            </w:pPr>
            <w:r w:rsidRPr="00916E18">
              <w:rPr>
                <w:rFonts w:ascii="Arial" w:hAnsi="Arial" w:cs="Arial"/>
                <w:b/>
                <w:sz w:val="18"/>
                <w:szCs w:val="18"/>
              </w:rPr>
              <w:t xml:space="preserve">     </w:t>
            </w:r>
            <w:r w:rsidRPr="00916E18">
              <w:rPr>
                <w:rFonts w:ascii="Arial" w:hAnsi="Arial" w:cs="Arial"/>
                <w:b/>
                <w:color w:val="FFFFFF" w:themeColor="background1"/>
                <w:sz w:val="18"/>
                <w:szCs w:val="18"/>
              </w:rPr>
              <w:t>Descripción</w:t>
            </w:r>
          </w:p>
        </w:tc>
      </w:tr>
      <w:tr w:rsidR="006E1F0E" w:rsidTr="00605349">
        <w:tc>
          <w:tcPr>
            <w:tcW w:w="14242" w:type="dxa"/>
          </w:tcPr>
          <w:p w:rsidR="006E1F0E" w:rsidRDefault="006E1F0E" w:rsidP="000C6BFE"/>
        </w:tc>
      </w:tr>
      <w:tr w:rsidR="006E1F0E" w:rsidRPr="00916E18" w:rsidTr="00605349">
        <w:trPr>
          <w:trHeight w:val="374"/>
        </w:trPr>
        <w:tc>
          <w:tcPr>
            <w:tcW w:w="14242" w:type="dxa"/>
            <w:shd w:val="clear" w:color="auto" w:fill="81776F"/>
            <w:vAlign w:val="center"/>
          </w:tcPr>
          <w:p w:rsidR="003C5137" w:rsidRDefault="006E1F0E" w:rsidP="000C6BFE">
            <w:pPr>
              <w:rPr>
                <w:rFonts w:ascii="Arial" w:hAnsi="Arial" w:cs="Arial"/>
                <w:b/>
                <w:color w:val="FFFFFF" w:themeColor="background1"/>
                <w:sz w:val="18"/>
                <w:szCs w:val="18"/>
              </w:rPr>
            </w:pPr>
            <w:r w:rsidRPr="00916E18">
              <w:rPr>
                <w:rFonts w:ascii="Arial" w:hAnsi="Arial" w:cs="Arial"/>
                <w:b/>
                <w:color w:val="FFFFFF" w:themeColor="background1"/>
                <w:sz w:val="18"/>
                <w:szCs w:val="18"/>
              </w:rPr>
              <w:t>Objetivos Anuales</w:t>
            </w:r>
          </w:p>
          <w:p w:rsidR="003C5137" w:rsidRPr="00916E18" w:rsidRDefault="003C5137" w:rsidP="000C6BFE">
            <w:pPr>
              <w:rPr>
                <w:rFonts w:ascii="Arial" w:hAnsi="Arial" w:cs="Arial"/>
                <w:b/>
                <w:color w:val="FFFFFF" w:themeColor="background1"/>
                <w:sz w:val="18"/>
                <w:szCs w:val="18"/>
              </w:rPr>
            </w:pPr>
          </w:p>
        </w:tc>
      </w:tr>
      <w:tr w:rsidR="006E1F0E" w:rsidTr="00605349">
        <w:tc>
          <w:tcPr>
            <w:tcW w:w="14242" w:type="dxa"/>
            <w:shd w:val="clear" w:color="auto" w:fill="auto"/>
          </w:tcPr>
          <w:p w:rsidR="006E1F0E" w:rsidRPr="00067DF8" w:rsidRDefault="00AA64E4" w:rsidP="004E6099">
            <w:pPr>
              <w:jc w:val="both"/>
              <w:rPr>
                <w:rFonts w:ascii="Arial" w:hAnsi="Arial" w:cs="Arial"/>
                <w:sz w:val="16"/>
                <w:szCs w:val="16"/>
              </w:rPr>
            </w:pPr>
            <w:r w:rsidRPr="00067DF8">
              <w:rPr>
                <w:rFonts w:ascii="Arial" w:hAnsi="Arial" w:cs="Arial"/>
                <w:sz w:val="16"/>
                <w:szCs w:val="16"/>
              </w:rPr>
              <w:t>El objetivo del Gobierno del Estado a través del proyecto de Presupuesto de Egresos del Estado de Sinaloa para el Ejercicio Fiscal 202</w:t>
            </w:r>
            <w:r w:rsidR="006E48B0" w:rsidRPr="00067DF8">
              <w:rPr>
                <w:rFonts w:ascii="Arial" w:hAnsi="Arial" w:cs="Arial"/>
                <w:sz w:val="16"/>
                <w:szCs w:val="16"/>
              </w:rPr>
              <w:t>1</w:t>
            </w:r>
            <w:r w:rsidRPr="00067DF8">
              <w:rPr>
                <w:rFonts w:ascii="Arial" w:hAnsi="Arial" w:cs="Arial"/>
                <w:sz w:val="16"/>
                <w:szCs w:val="16"/>
              </w:rPr>
              <w:t xml:space="preserve">, </w:t>
            </w:r>
            <w:r w:rsidR="004E6099" w:rsidRPr="00067DF8">
              <w:rPr>
                <w:rFonts w:ascii="Arial" w:hAnsi="Arial" w:cs="Arial"/>
                <w:sz w:val="16"/>
                <w:szCs w:val="16"/>
              </w:rPr>
              <w:t>es mantener la estabilidad en las finanzas públicas y la deuda pública para lograr así un entorno económico favorable y un crecimiento sostenido</w:t>
            </w:r>
            <w:r w:rsidRPr="00067DF8">
              <w:rPr>
                <w:rFonts w:ascii="Arial" w:hAnsi="Arial" w:cs="Arial"/>
                <w:sz w:val="16"/>
                <w:szCs w:val="16"/>
              </w:rPr>
              <w:t>.</w:t>
            </w:r>
          </w:p>
        </w:tc>
      </w:tr>
      <w:tr w:rsidR="00605349" w:rsidTr="004967CF">
        <w:tc>
          <w:tcPr>
            <w:tcW w:w="14242" w:type="dxa"/>
            <w:shd w:val="clear" w:color="auto" w:fill="auto"/>
          </w:tcPr>
          <w:p w:rsidR="00605349" w:rsidRPr="00067DF8" w:rsidRDefault="00605349" w:rsidP="002D6C9C">
            <w:pPr>
              <w:jc w:val="both"/>
              <w:rPr>
                <w:rFonts w:ascii="Arial" w:hAnsi="Arial" w:cs="Arial"/>
                <w:sz w:val="16"/>
                <w:szCs w:val="16"/>
              </w:rPr>
            </w:pPr>
          </w:p>
          <w:p w:rsidR="00AA64E4" w:rsidRPr="00067DF8" w:rsidRDefault="0064661D" w:rsidP="0064661D">
            <w:pPr>
              <w:jc w:val="both"/>
              <w:rPr>
                <w:rFonts w:ascii="Arial" w:hAnsi="Arial" w:cs="Arial"/>
                <w:sz w:val="16"/>
                <w:szCs w:val="16"/>
              </w:rPr>
            </w:pPr>
            <w:r w:rsidRPr="00067DF8">
              <w:rPr>
                <w:rFonts w:ascii="Arial" w:hAnsi="Arial" w:cs="Arial"/>
                <w:sz w:val="16"/>
                <w:szCs w:val="16"/>
              </w:rPr>
              <w:t xml:space="preserve">Alinear el </w:t>
            </w:r>
            <w:r w:rsidR="00B35E11" w:rsidRPr="00067DF8">
              <w:rPr>
                <w:rFonts w:ascii="Arial" w:hAnsi="Arial" w:cs="Arial"/>
                <w:sz w:val="16"/>
                <w:szCs w:val="16"/>
              </w:rPr>
              <w:t>gasto público</w:t>
            </w:r>
            <w:r w:rsidRPr="00067DF8">
              <w:rPr>
                <w:rFonts w:ascii="Arial" w:hAnsi="Arial" w:cs="Arial"/>
                <w:sz w:val="16"/>
                <w:szCs w:val="16"/>
              </w:rPr>
              <w:t xml:space="preserve"> con las necesidades de los sinaloenses en m</w:t>
            </w:r>
            <w:r w:rsidR="00CB499E" w:rsidRPr="00067DF8">
              <w:rPr>
                <w:rFonts w:ascii="Arial" w:hAnsi="Arial" w:cs="Arial"/>
                <w:sz w:val="16"/>
                <w:szCs w:val="16"/>
              </w:rPr>
              <w:t>ateria de política social</w:t>
            </w:r>
            <w:r w:rsidR="0017313E" w:rsidRPr="00067DF8">
              <w:rPr>
                <w:rFonts w:ascii="Arial" w:hAnsi="Arial" w:cs="Arial"/>
                <w:sz w:val="16"/>
                <w:szCs w:val="16"/>
              </w:rPr>
              <w:t>.</w:t>
            </w:r>
          </w:p>
          <w:p w:rsidR="00316AAB" w:rsidRPr="00067DF8" w:rsidRDefault="00316AAB" w:rsidP="0064661D">
            <w:pPr>
              <w:jc w:val="both"/>
              <w:rPr>
                <w:rFonts w:ascii="Arial" w:hAnsi="Arial" w:cs="Arial"/>
                <w:sz w:val="16"/>
                <w:szCs w:val="16"/>
              </w:rPr>
            </w:pPr>
          </w:p>
          <w:p w:rsidR="00316AAB" w:rsidRPr="00067DF8" w:rsidRDefault="00316AAB" w:rsidP="00F27E56">
            <w:pPr>
              <w:jc w:val="both"/>
              <w:rPr>
                <w:rFonts w:ascii="Arial" w:hAnsi="Arial" w:cs="Arial"/>
                <w:sz w:val="16"/>
                <w:szCs w:val="16"/>
              </w:rPr>
            </w:pPr>
            <w:r w:rsidRPr="00067DF8">
              <w:rPr>
                <w:rFonts w:ascii="Arial" w:hAnsi="Arial" w:cs="Arial"/>
                <w:sz w:val="16"/>
                <w:szCs w:val="16"/>
              </w:rPr>
              <w:t>Una gestión eficiente</w:t>
            </w:r>
            <w:r w:rsidR="00F27E56" w:rsidRPr="00067DF8">
              <w:rPr>
                <w:rFonts w:ascii="Arial" w:hAnsi="Arial" w:cs="Arial"/>
                <w:sz w:val="16"/>
                <w:szCs w:val="16"/>
              </w:rPr>
              <w:t xml:space="preserve"> </w:t>
            </w:r>
            <w:r w:rsidR="0001438E" w:rsidRPr="00067DF8">
              <w:rPr>
                <w:rFonts w:ascii="Arial" w:hAnsi="Arial" w:cs="Arial"/>
                <w:sz w:val="16"/>
                <w:szCs w:val="16"/>
              </w:rPr>
              <w:t xml:space="preserve">y transparente que </w:t>
            </w:r>
            <w:r w:rsidR="007F243C" w:rsidRPr="00067DF8">
              <w:rPr>
                <w:rFonts w:ascii="Arial" w:hAnsi="Arial" w:cs="Arial"/>
                <w:sz w:val="16"/>
                <w:szCs w:val="16"/>
              </w:rPr>
              <w:t xml:space="preserve">dé </w:t>
            </w:r>
            <w:r w:rsidR="0001438E" w:rsidRPr="00067DF8">
              <w:rPr>
                <w:rFonts w:ascii="Arial" w:hAnsi="Arial" w:cs="Arial"/>
                <w:sz w:val="16"/>
                <w:szCs w:val="16"/>
              </w:rPr>
              <w:t>certidumbre a los ciudadanos y agentes económicos</w:t>
            </w:r>
            <w:r w:rsidR="00E80044" w:rsidRPr="00067DF8">
              <w:rPr>
                <w:rFonts w:ascii="Arial" w:hAnsi="Arial" w:cs="Arial"/>
                <w:sz w:val="16"/>
                <w:szCs w:val="16"/>
              </w:rPr>
              <w:t>,</w:t>
            </w:r>
            <w:r w:rsidR="0001438E" w:rsidRPr="00067DF8">
              <w:rPr>
                <w:rFonts w:ascii="Arial" w:hAnsi="Arial" w:cs="Arial"/>
                <w:sz w:val="16"/>
                <w:szCs w:val="16"/>
              </w:rPr>
              <w:t xml:space="preserve"> que se refleje en mejores niveles de inversión.</w:t>
            </w:r>
          </w:p>
        </w:tc>
      </w:tr>
      <w:tr w:rsidR="00605349" w:rsidTr="004967CF">
        <w:tc>
          <w:tcPr>
            <w:tcW w:w="14242" w:type="dxa"/>
            <w:shd w:val="clear" w:color="auto" w:fill="auto"/>
          </w:tcPr>
          <w:p w:rsidR="00605349" w:rsidRPr="008738AE" w:rsidRDefault="00605349" w:rsidP="00605349">
            <w:pPr>
              <w:jc w:val="both"/>
              <w:rPr>
                <w:rFonts w:ascii="Arial" w:hAnsi="Arial" w:cs="Arial"/>
                <w:sz w:val="16"/>
                <w:szCs w:val="16"/>
              </w:rPr>
            </w:pPr>
          </w:p>
        </w:tc>
      </w:tr>
      <w:tr w:rsidR="00605349" w:rsidRPr="008738AE" w:rsidTr="00605349">
        <w:trPr>
          <w:trHeight w:val="374"/>
        </w:trPr>
        <w:tc>
          <w:tcPr>
            <w:tcW w:w="14242" w:type="dxa"/>
            <w:shd w:val="clear" w:color="auto" w:fill="81776F"/>
            <w:vAlign w:val="center"/>
          </w:tcPr>
          <w:p w:rsidR="00605349" w:rsidRPr="008738AE" w:rsidRDefault="00605349" w:rsidP="00605349">
            <w:pPr>
              <w:rPr>
                <w:rFonts w:ascii="Arial" w:hAnsi="Arial" w:cs="Arial"/>
                <w:b/>
                <w:color w:val="FFFFFF" w:themeColor="background1"/>
                <w:sz w:val="18"/>
                <w:szCs w:val="18"/>
              </w:rPr>
            </w:pPr>
            <w:r w:rsidRPr="008738AE">
              <w:rPr>
                <w:rFonts w:ascii="Arial" w:hAnsi="Arial" w:cs="Arial"/>
                <w:b/>
                <w:color w:val="FFFFFF" w:themeColor="background1"/>
                <w:sz w:val="18"/>
                <w:szCs w:val="18"/>
              </w:rPr>
              <w:t>Estrategias</w:t>
            </w:r>
          </w:p>
        </w:tc>
      </w:tr>
    </w:tbl>
    <w:p w:rsidR="00022FC5" w:rsidRPr="00067DF8" w:rsidRDefault="008231B6" w:rsidP="004967CF">
      <w:pPr>
        <w:jc w:val="both"/>
        <w:rPr>
          <w:rFonts w:ascii="Arial" w:hAnsi="Arial" w:cs="Arial"/>
          <w:sz w:val="16"/>
          <w:szCs w:val="16"/>
        </w:rPr>
      </w:pPr>
      <w:r w:rsidRPr="00067DF8">
        <w:rPr>
          <w:rFonts w:ascii="Arial" w:hAnsi="Arial" w:cs="Arial"/>
          <w:sz w:val="16"/>
          <w:szCs w:val="16"/>
        </w:rPr>
        <w:t xml:space="preserve">Privilegiar el gasto público en programas y acciones encaminados a </w:t>
      </w:r>
      <w:r w:rsidR="00427A49" w:rsidRPr="00067DF8">
        <w:rPr>
          <w:rFonts w:ascii="Arial" w:hAnsi="Arial" w:cs="Arial"/>
          <w:sz w:val="16"/>
          <w:szCs w:val="16"/>
        </w:rPr>
        <w:t xml:space="preserve">elevar la </w:t>
      </w:r>
      <w:r w:rsidRPr="00067DF8">
        <w:rPr>
          <w:rFonts w:ascii="Arial" w:hAnsi="Arial" w:cs="Arial"/>
          <w:sz w:val="16"/>
          <w:szCs w:val="16"/>
        </w:rPr>
        <w:t>cobertura educativa</w:t>
      </w:r>
      <w:r w:rsidR="005453F3" w:rsidRPr="00067DF8">
        <w:rPr>
          <w:rFonts w:ascii="Arial" w:hAnsi="Arial" w:cs="Arial"/>
          <w:sz w:val="16"/>
          <w:szCs w:val="16"/>
        </w:rPr>
        <w:t xml:space="preserve"> y a la atención de la salud</w:t>
      </w:r>
      <w:r w:rsidRPr="00067DF8">
        <w:rPr>
          <w:rFonts w:ascii="Arial" w:hAnsi="Arial" w:cs="Arial"/>
          <w:sz w:val="16"/>
          <w:szCs w:val="16"/>
        </w:rPr>
        <w:t>.</w:t>
      </w:r>
      <w:r w:rsidR="008738AE" w:rsidRPr="00067DF8">
        <w:rPr>
          <w:rFonts w:ascii="Arial" w:hAnsi="Arial" w:cs="Arial"/>
          <w:sz w:val="16"/>
          <w:szCs w:val="16"/>
        </w:rPr>
        <w:tab/>
      </w:r>
      <w:r w:rsidR="008738AE" w:rsidRPr="00067DF8">
        <w:rPr>
          <w:rFonts w:ascii="Arial" w:hAnsi="Arial" w:cs="Arial"/>
          <w:sz w:val="16"/>
          <w:szCs w:val="16"/>
        </w:rPr>
        <w:tab/>
      </w:r>
      <w:r w:rsidR="008738AE" w:rsidRPr="00067DF8">
        <w:rPr>
          <w:rFonts w:ascii="Arial" w:hAnsi="Arial" w:cs="Arial"/>
          <w:sz w:val="16"/>
          <w:szCs w:val="16"/>
        </w:rPr>
        <w:tab/>
      </w:r>
    </w:p>
    <w:p w:rsidR="008738AE" w:rsidRPr="00067DF8" w:rsidRDefault="0092675E" w:rsidP="004967CF">
      <w:pPr>
        <w:jc w:val="both"/>
        <w:rPr>
          <w:rFonts w:ascii="Arial" w:hAnsi="Arial" w:cs="Arial"/>
          <w:sz w:val="16"/>
          <w:szCs w:val="16"/>
        </w:rPr>
      </w:pPr>
      <w:r>
        <w:rPr>
          <w:rFonts w:ascii="Arial" w:hAnsi="Arial" w:cs="Arial"/>
          <w:sz w:val="16"/>
          <w:szCs w:val="16"/>
        </w:rPr>
        <w:t>Evitar nuevos endeudamientos a largo plazo y consolidar el esquema de deuda actual en las mejores condiciones</w:t>
      </w:r>
    </w:p>
    <w:p w:rsidR="00AD67EE" w:rsidRPr="008738AE" w:rsidRDefault="0092675E" w:rsidP="004967CF">
      <w:pPr>
        <w:jc w:val="both"/>
        <w:rPr>
          <w:rFonts w:ascii="Arial" w:hAnsi="Arial" w:cs="Arial"/>
          <w:sz w:val="16"/>
          <w:szCs w:val="16"/>
        </w:rPr>
      </w:pPr>
      <w:r>
        <w:rPr>
          <w:rFonts w:ascii="Arial" w:hAnsi="Arial" w:cs="Arial"/>
          <w:sz w:val="16"/>
          <w:szCs w:val="16"/>
        </w:rPr>
        <w:t>Atender las disposiciones en materia de disciplina financiera para lograr finanzas públicas sostenibles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2"/>
      </w:tblGrid>
      <w:tr w:rsidR="008738AE" w:rsidRPr="008738AE" w:rsidTr="00346B37">
        <w:trPr>
          <w:trHeight w:val="369"/>
        </w:trPr>
        <w:tc>
          <w:tcPr>
            <w:tcW w:w="14676" w:type="dxa"/>
            <w:shd w:val="clear" w:color="auto" w:fill="81776F"/>
            <w:vAlign w:val="center"/>
          </w:tcPr>
          <w:p w:rsidR="008738AE" w:rsidRPr="008738AE" w:rsidRDefault="008738AE" w:rsidP="008738AE">
            <w:pPr>
              <w:rPr>
                <w:rFonts w:ascii="Arial" w:hAnsi="Arial" w:cs="Arial"/>
                <w:b/>
                <w:color w:val="FFFFFF" w:themeColor="background1"/>
                <w:sz w:val="18"/>
                <w:szCs w:val="18"/>
              </w:rPr>
            </w:pPr>
            <w:r>
              <w:rPr>
                <w:rFonts w:ascii="Arial" w:hAnsi="Arial" w:cs="Arial"/>
                <w:b/>
                <w:color w:val="FFFFFF" w:themeColor="background1"/>
                <w:sz w:val="18"/>
                <w:szCs w:val="18"/>
              </w:rPr>
              <w:t>Metas</w:t>
            </w:r>
          </w:p>
        </w:tc>
      </w:tr>
    </w:tbl>
    <w:p w:rsidR="008738AE" w:rsidRPr="00067DF8" w:rsidRDefault="00ED4341" w:rsidP="00540637">
      <w:pPr>
        <w:jc w:val="both"/>
        <w:rPr>
          <w:rFonts w:ascii="Arial" w:hAnsi="Arial" w:cs="Arial"/>
          <w:sz w:val="16"/>
          <w:szCs w:val="16"/>
        </w:rPr>
      </w:pPr>
      <w:r w:rsidRPr="00067DF8">
        <w:rPr>
          <w:rFonts w:ascii="Arial" w:hAnsi="Arial" w:cs="Arial"/>
          <w:sz w:val="16"/>
          <w:szCs w:val="16"/>
        </w:rPr>
        <w:t>D</w:t>
      </w:r>
      <w:r w:rsidR="00D41ACD" w:rsidRPr="00067DF8">
        <w:rPr>
          <w:rFonts w:ascii="Arial" w:hAnsi="Arial" w:cs="Arial"/>
          <w:sz w:val="16"/>
          <w:szCs w:val="16"/>
        </w:rPr>
        <w:t>ar cumplimiento</w:t>
      </w:r>
      <w:r w:rsidR="00820D5C" w:rsidRPr="00067DF8">
        <w:rPr>
          <w:rFonts w:ascii="Arial" w:hAnsi="Arial" w:cs="Arial"/>
          <w:sz w:val="16"/>
          <w:szCs w:val="16"/>
        </w:rPr>
        <w:t xml:space="preserve"> a las disposiciones de la </w:t>
      </w:r>
      <w:r w:rsidR="00D41ACD" w:rsidRPr="00067DF8">
        <w:rPr>
          <w:rFonts w:ascii="Arial" w:hAnsi="Arial" w:cs="Arial"/>
          <w:sz w:val="16"/>
          <w:szCs w:val="16"/>
        </w:rPr>
        <w:t>Ley de Disciplina Financiera de las Entidades Federati</w:t>
      </w:r>
      <w:r w:rsidR="00EC426D" w:rsidRPr="00067DF8">
        <w:rPr>
          <w:rFonts w:ascii="Arial" w:hAnsi="Arial" w:cs="Arial"/>
          <w:sz w:val="16"/>
          <w:szCs w:val="16"/>
        </w:rPr>
        <w:t>vas y los Municipios</w:t>
      </w:r>
      <w:r w:rsidRPr="00067DF8">
        <w:rPr>
          <w:rFonts w:ascii="Arial" w:hAnsi="Arial" w:cs="Arial"/>
          <w:sz w:val="16"/>
          <w:szCs w:val="16"/>
        </w:rPr>
        <w:t xml:space="preserve">, </w:t>
      </w:r>
      <w:r w:rsidR="00EC426D" w:rsidRPr="00067DF8">
        <w:rPr>
          <w:rFonts w:ascii="Arial" w:hAnsi="Arial" w:cs="Arial"/>
          <w:sz w:val="16"/>
          <w:szCs w:val="16"/>
        </w:rPr>
        <w:t xml:space="preserve">respecto </w:t>
      </w:r>
      <w:r w:rsidR="00820D5C" w:rsidRPr="00067DF8">
        <w:rPr>
          <w:rFonts w:ascii="Arial" w:hAnsi="Arial" w:cs="Arial"/>
          <w:sz w:val="16"/>
          <w:szCs w:val="16"/>
        </w:rPr>
        <w:t>del destino de los recursos públicos</w:t>
      </w:r>
      <w:r w:rsidR="00EC426D" w:rsidRPr="00067DF8">
        <w:rPr>
          <w:rFonts w:ascii="Arial" w:hAnsi="Arial" w:cs="Arial"/>
          <w:sz w:val="16"/>
          <w:szCs w:val="16"/>
        </w:rPr>
        <w:t>.</w:t>
      </w:r>
    </w:p>
    <w:p w:rsidR="008738AE" w:rsidRPr="00067DF8" w:rsidRDefault="00256090" w:rsidP="00540637">
      <w:pPr>
        <w:jc w:val="both"/>
        <w:rPr>
          <w:rFonts w:ascii="Arial" w:hAnsi="Arial" w:cs="Arial"/>
          <w:sz w:val="16"/>
          <w:szCs w:val="16"/>
        </w:rPr>
      </w:pPr>
      <w:r w:rsidRPr="00067DF8">
        <w:rPr>
          <w:rFonts w:ascii="Arial" w:hAnsi="Arial" w:cs="Arial"/>
          <w:sz w:val="16"/>
          <w:szCs w:val="16"/>
        </w:rPr>
        <w:t>Mantener un bal</w:t>
      </w:r>
      <w:r w:rsidR="00990FF9" w:rsidRPr="00067DF8">
        <w:rPr>
          <w:rFonts w:ascii="Arial" w:hAnsi="Arial" w:cs="Arial"/>
          <w:sz w:val="16"/>
          <w:szCs w:val="16"/>
        </w:rPr>
        <w:t>ance presupuestario positivo que mejore la disponibilidad de recursos para atender las necesidades de los sectores sociales</w:t>
      </w:r>
      <w:r w:rsidR="00EC426D" w:rsidRPr="00067DF8">
        <w:rPr>
          <w:rFonts w:ascii="Arial" w:hAnsi="Arial" w:cs="Arial"/>
          <w:sz w:val="16"/>
          <w:szCs w:val="16"/>
        </w:rPr>
        <w:t>.</w:t>
      </w:r>
      <w:r w:rsidR="0070209D" w:rsidRPr="00067DF8">
        <w:rPr>
          <w:rFonts w:ascii="Arial" w:hAnsi="Arial" w:cs="Arial"/>
          <w:sz w:val="16"/>
          <w:szCs w:val="16"/>
        </w:rPr>
        <w:t xml:space="preserve"> </w:t>
      </w:r>
    </w:p>
    <w:p w:rsidR="002F56C9" w:rsidRPr="00067DF8" w:rsidRDefault="006E2F58" w:rsidP="00540637">
      <w:pPr>
        <w:jc w:val="both"/>
        <w:rPr>
          <w:rFonts w:ascii="Arial" w:hAnsi="Arial" w:cs="Arial"/>
          <w:sz w:val="16"/>
          <w:szCs w:val="16"/>
        </w:rPr>
      </w:pPr>
      <w:r w:rsidRPr="00067DF8">
        <w:rPr>
          <w:rFonts w:ascii="Arial" w:hAnsi="Arial" w:cs="Arial"/>
          <w:sz w:val="16"/>
          <w:szCs w:val="16"/>
        </w:rPr>
        <w:t>Contar con la suficiencia de recursos para concluir las obras de infraestructura de impacto social en beneficio de la población sinaloense</w:t>
      </w:r>
      <w:r w:rsidR="002F56C9" w:rsidRPr="00067DF8">
        <w:rPr>
          <w:rFonts w:ascii="Arial" w:hAnsi="Arial" w:cs="Arial"/>
          <w:sz w:val="16"/>
          <w:szCs w:val="16"/>
        </w:rPr>
        <w:t>.</w:t>
      </w:r>
    </w:p>
    <w:p w:rsidR="003B0294" w:rsidRPr="00067DF8" w:rsidRDefault="009D5FE9" w:rsidP="00540637">
      <w:pPr>
        <w:jc w:val="both"/>
        <w:rPr>
          <w:rFonts w:ascii="Arial" w:hAnsi="Arial" w:cs="Arial"/>
          <w:sz w:val="16"/>
          <w:szCs w:val="16"/>
        </w:rPr>
      </w:pPr>
      <w:r w:rsidRPr="00067DF8">
        <w:rPr>
          <w:rFonts w:ascii="Arial" w:hAnsi="Arial" w:cs="Arial"/>
          <w:sz w:val="16"/>
          <w:szCs w:val="16"/>
        </w:rPr>
        <w:t>Atender las solicitudes de acceso a la información pública en materia de gasto público, consolidando así la transparencia y la rendición de cuentas.</w:t>
      </w:r>
    </w:p>
    <w:p w:rsidR="006726F9" w:rsidRPr="00067DF8" w:rsidRDefault="00882411" w:rsidP="00540637">
      <w:pPr>
        <w:jc w:val="both"/>
        <w:rPr>
          <w:rFonts w:ascii="Arial" w:hAnsi="Arial" w:cs="Arial"/>
          <w:sz w:val="16"/>
          <w:szCs w:val="16"/>
        </w:rPr>
      </w:pPr>
      <w:r w:rsidRPr="00067DF8">
        <w:rPr>
          <w:rFonts w:ascii="Arial" w:hAnsi="Arial" w:cs="Arial"/>
          <w:sz w:val="16"/>
          <w:szCs w:val="16"/>
        </w:rPr>
        <w:t>Obtener un nivel óptimo de cumplimiento en el Sistema de Reporte de Recursos Federales Transferidos (SRFT), administrado por la Secretaría de Hacienda y Crédito Público (SHCP)</w:t>
      </w:r>
      <w:r w:rsidR="006726F9" w:rsidRPr="00067DF8">
        <w:rPr>
          <w:rFonts w:ascii="Arial" w:hAnsi="Arial" w:cs="Arial"/>
          <w:sz w:val="16"/>
          <w:szCs w:val="16"/>
        </w:rPr>
        <w:t>.</w:t>
      </w:r>
    </w:p>
    <w:p w:rsidR="00794FA5" w:rsidRDefault="00AD7C00" w:rsidP="00540637">
      <w:pPr>
        <w:jc w:val="both"/>
        <w:rPr>
          <w:rFonts w:ascii="Arial" w:hAnsi="Arial" w:cs="Arial"/>
          <w:sz w:val="16"/>
          <w:szCs w:val="16"/>
        </w:rPr>
      </w:pPr>
      <w:r w:rsidRPr="00067DF8">
        <w:rPr>
          <w:rFonts w:ascii="Arial" w:hAnsi="Arial" w:cs="Arial"/>
          <w:sz w:val="16"/>
          <w:szCs w:val="16"/>
        </w:rPr>
        <w:t>Estar entre los primeros lugares</w:t>
      </w:r>
      <w:r w:rsidR="00670F7A" w:rsidRPr="00067DF8">
        <w:rPr>
          <w:rFonts w:ascii="Arial" w:hAnsi="Arial" w:cs="Arial"/>
          <w:sz w:val="16"/>
          <w:szCs w:val="16"/>
        </w:rPr>
        <w:t xml:space="preserve"> </w:t>
      </w:r>
      <w:r w:rsidRPr="00067DF8">
        <w:rPr>
          <w:rFonts w:ascii="Arial" w:hAnsi="Arial" w:cs="Arial"/>
          <w:sz w:val="16"/>
          <w:szCs w:val="16"/>
        </w:rPr>
        <w:t>a nivel nacional</w:t>
      </w:r>
      <w:r w:rsidR="00D71183" w:rsidRPr="00067DF8">
        <w:rPr>
          <w:rFonts w:ascii="Arial" w:hAnsi="Arial" w:cs="Arial"/>
          <w:sz w:val="16"/>
          <w:szCs w:val="16"/>
        </w:rPr>
        <w:t xml:space="preserve"> en lo que respecta el Poder Ejecutivo </w:t>
      </w:r>
      <w:r w:rsidR="00670F7A" w:rsidRPr="00067DF8">
        <w:rPr>
          <w:rFonts w:ascii="Arial" w:hAnsi="Arial" w:cs="Arial"/>
          <w:sz w:val="16"/>
          <w:szCs w:val="16"/>
        </w:rPr>
        <w:t xml:space="preserve">en las evaluaciones </w:t>
      </w:r>
      <w:r w:rsidRPr="00067DF8">
        <w:rPr>
          <w:rFonts w:ascii="Arial" w:hAnsi="Arial" w:cs="Arial"/>
          <w:sz w:val="16"/>
          <w:szCs w:val="16"/>
        </w:rPr>
        <w:t>para la Armonización Contable</w:t>
      </w:r>
      <w:r w:rsidR="00D71183" w:rsidRPr="00067DF8">
        <w:rPr>
          <w:rFonts w:ascii="Arial" w:hAnsi="Arial" w:cs="Arial"/>
          <w:sz w:val="16"/>
          <w:szCs w:val="16"/>
        </w:rPr>
        <w:t>,</w:t>
      </w:r>
      <w:r w:rsidR="00670F7A" w:rsidRPr="00067DF8">
        <w:rPr>
          <w:rFonts w:ascii="Arial" w:hAnsi="Arial" w:cs="Arial"/>
          <w:sz w:val="16"/>
          <w:szCs w:val="16"/>
        </w:rPr>
        <w:t xml:space="preserve"> que coordina el Consejo Nacional de Armonización Contable (CONAC).</w:t>
      </w:r>
    </w:p>
    <w:p w:rsidR="00794FA5" w:rsidRDefault="00794FA5" w:rsidP="004967CF">
      <w:pPr>
        <w:rPr>
          <w:rFonts w:ascii="Arial" w:hAnsi="Arial" w:cs="Arial"/>
          <w:sz w:val="16"/>
          <w:szCs w:val="16"/>
        </w:rPr>
      </w:pPr>
    </w:p>
    <w:p w:rsidR="00794FA5" w:rsidRDefault="00794FA5" w:rsidP="004967CF">
      <w:pPr>
        <w:rPr>
          <w:rFonts w:ascii="Arial" w:hAnsi="Arial" w:cs="Arial"/>
          <w:sz w:val="16"/>
          <w:szCs w:val="16"/>
        </w:rPr>
      </w:pPr>
    </w:p>
    <w:p w:rsidR="00540637" w:rsidRDefault="00540637" w:rsidP="004967CF">
      <w:pPr>
        <w:rPr>
          <w:rFonts w:ascii="Arial" w:hAnsi="Arial" w:cs="Arial"/>
          <w:sz w:val="16"/>
          <w:szCs w:val="16"/>
        </w:rPr>
      </w:pPr>
    </w:p>
    <w:p w:rsidR="00067B38" w:rsidRDefault="00067B38" w:rsidP="004967CF">
      <w:pPr>
        <w:rPr>
          <w:rFonts w:ascii="Arial" w:hAnsi="Arial" w:cs="Arial"/>
          <w:sz w:val="16"/>
          <w:szCs w:val="16"/>
        </w:rPr>
      </w:pPr>
      <w:bookmarkStart w:id="0" w:name="_GoBack"/>
      <w:bookmarkEnd w:id="0"/>
    </w:p>
    <w:p w:rsidR="0065398C" w:rsidRDefault="00670F7A" w:rsidP="004967CF">
      <w:r>
        <w:rPr>
          <w:rFonts w:ascii="Arial" w:hAnsi="Arial" w:cs="Arial"/>
          <w:sz w:val="16"/>
          <w:szCs w:val="16"/>
        </w:rPr>
        <w:t xml:space="preserve"> </w:t>
      </w:r>
      <w:r w:rsidR="00E32D48">
        <w:rPr>
          <w:rFonts w:ascii="Arial" w:hAnsi="Arial" w:cs="Arial"/>
          <w:sz w:val="16"/>
          <w:szCs w:val="16"/>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2"/>
      </w:tblGrid>
      <w:tr w:rsidR="008738AE" w:rsidTr="006E08B9">
        <w:trPr>
          <w:trHeight w:val="365"/>
        </w:trPr>
        <w:tc>
          <w:tcPr>
            <w:tcW w:w="14242" w:type="dxa"/>
            <w:shd w:val="clear" w:color="auto" w:fill="861D31"/>
            <w:vAlign w:val="center"/>
          </w:tcPr>
          <w:p w:rsidR="008738AE" w:rsidRPr="006E08B9" w:rsidRDefault="008738AE" w:rsidP="00994F06">
            <w:pPr>
              <w:rPr>
                <w:rFonts w:ascii="Arial" w:hAnsi="Arial" w:cs="Arial"/>
                <w:b/>
                <w:color w:val="FFFFFF" w:themeColor="background1"/>
                <w:sz w:val="18"/>
                <w:szCs w:val="18"/>
              </w:rPr>
            </w:pPr>
            <w:r w:rsidRPr="006E08B9">
              <w:rPr>
                <w:rFonts w:ascii="Arial" w:hAnsi="Arial" w:cs="Arial"/>
                <w:b/>
                <w:color w:val="FFFFFF" w:themeColor="background1"/>
                <w:sz w:val="18"/>
                <w:szCs w:val="18"/>
              </w:rPr>
              <w:lastRenderedPageBreak/>
              <w:t>Concepto</w:t>
            </w:r>
          </w:p>
        </w:tc>
      </w:tr>
      <w:tr w:rsidR="008738AE" w:rsidRPr="00916E18" w:rsidTr="006E08B9">
        <w:trPr>
          <w:trHeight w:val="369"/>
        </w:trPr>
        <w:tc>
          <w:tcPr>
            <w:tcW w:w="14242" w:type="dxa"/>
            <w:shd w:val="clear" w:color="auto" w:fill="81776F"/>
            <w:vAlign w:val="center"/>
          </w:tcPr>
          <w:p w:rsidR="008738AE" w:rsidRPr="00916E18" w:rsidRDefault="008738AE" w:rsidP="00994F06">
            <w:pPr>
              <w:rPr>
                <w:rFonts w:ascii="Arial" w:hAnsi="Arial" w:cs="Arial"/>
                <w:b/>
                <w:color w:val="FFFFFF" w:themeColor="background1"/>
                <w:sz w:val="18"/>
                <w:szCs w:val="18"/>
              </w:rPr>
            </w:pPr>
            <w:r w:rsidRPr="00916E18">
              <w:rPr>
                <w:rFonts w:ascii="Arial" w:hAnsi="Arial" w:cs="Arial"/>
                <w:b/>
                <w:sz w:val="18"/>
                <w:szCs w:val="18"/>
              </w:rPr>
              <w:t xml:space="preserve">     </w:t>
            </w:r>
            <w:r w:rsidRPr="00916E18">
              <w:rPr>
                <w:rFonts w:ascii="Arial" w:hAnsi="Arial" w:cs="Arial"/>
                <w:b/>
                <w:color w:val="FFFFFF" w:themeColor="background1"/>
                <w:sz w:val="18"/>
                <w:szCs w:val="18"/>
              </w:rPr>
              <w:t>Descripción</w:t>
            </w:r>
          </w:p>
        </w:tc>
      </w:tr>
      <w:tr w:rsidR="008738AE" w:rsidTr="006E08B9">
        <w:tc>
          <w:tcPr>
            <w:tcW w:w="14242" w:type="dxa"/>
          </w:tcPr>
          <w:p w:rsidR="008738AE" w:rsidRDefault="008738AE" w:rsidP="00994F06"/>
        </w:tc>
      </w:tr>
      <w:tr w:rsidR="008738AE" w:rsidRPr="00916E18" w:rsidTr="006E08B9">
        <w:trPr>
          <w:trHeight w:val="369"/>
        </w:trPr>
        <w:tc>
          <w:tcPr>
            <w:tcW w:w="14242" w:type="dxa"/>
            <w:shd w:val="clear" w:color="auto" w:fill="81776F"/>
            <w:vAlign w:val="center"/>
          </w:tcPr>
          <w:p w:rsidR="008738AE" w:rsidRPr="00916E18" w:rsidRDefault="008738AE" w:rsidP="00994F06">
            <w:pPr>
              <w:rPr>
                <w:rFonts w:ascii="Arial" w:hAnsi="Arial" w:cs="Arial"/>
                <w:b/>
                <w:color w:val="FFFFFF" w:themeColor="background1"/>
                <w:sz w:val="18"/>
                <w:szCs w:val="18"/>
              </w:rPr>
            </w:pPr>
            <w:r>
              <w:rPr>
                <w:rFonts w:ascii="Arial" w:hAnsi="Arial" w:cs="Arial"/>
                <w:b/>
                <w:color w:val="FFFFFF" w:themeColor="background1"/>
                <w:sz w:val="18"/>
                <w:szCs w:val="18"/>
              </w:rPr>
              <w:t>Riesgos Relevantes</w:t>
            </w:r>
          </w:p>
        </w:tc>
      </w:tr>
    </w:tbl>
    <w:p w:rsidR="00045DC0" w:rsidRPr="00067DF8" w:rsidRDefault="004556A0" w:rsidP="00540637">
      <w:pPr>
        <w:jc w:val="both"/>
        <w:rPr>
          <w:rFonts w:ascii="Arial" w:hAnsi="Arial" w:cs="Arial"/>
          <w:sz w:val="16"/>
          <w:szCs w:val="16"/>
        </w:rPr>
      </w:pPr>
      <w:r w:rsidRPr="00067DF8">
        <w:rPr>
          <w:rFonts w:ascii="Arial" w:hAnsi="Arial" w:cs="Arial"/>
          <w:sz w:val="16"/>
          <w:szCs w:val="16"/>
        </w:rPr>
        <w:t>Un rebrote a nivel nacional de la pandemia del Covid-19 podría restringir de nuevo las actividades productivas</w:t>
      </w:r>
      <w:r w:rsidR="00524D49" w:rsidRPr="00067DF8">
        <w:rPr>
          <w:rFonts w:ascii="Arial" w:hAnsi="Arial" w:cs="Arial"/>
          <w:sz w:val="16"/>
          <w:szCs w:val="16"/>
        </w:rPr>
        <w:t>,</w:t>
      </w:r>
      <w:r w:rsidR="00045DC0" w:rsidRPr="00067DF8">
        <w:rPr>
          <w:rFonts w:ascii="Arial" w:hAnsi="Arial" w:cs="Arial"/>
          <w:sz w:val="16"/>
          <w:szCs w:val="16"/>
        </w:rPr>
        <w:t xml:space="preserve"> generando una recuperación económica más lenta que impacte en la dinámica tributaria.</w:t>
      </w:r>
    </w:p>
    <w:p w:rsidR="008738AE" w:rsidRPr="00067DF8" w:rsidRDefault="009C0427" w:rsidP="00540637">
      <w:pPr>
        <w:jc w:val="both"/>
        <w:rPr>
          <w:rFonts w:ascii="Arial" w:hAnsi="Arial" w:cs="Arial"/>
          <w:sz w:val="16"/>
          <w:szCs w:val="16"/>
        </w:rPr>
      </w:pPr>
      <w:r w:rsidRPr="00067DF8">
        <w:rPr>
          <w:rFonts w:ascii="Arial" w:hAnsi="Arial" w:cs="Arial"/>
          <w:sz w:val="16"/>
          <w:szCs w:val="16"/>
        </w:rPr>
        <w:t>Los cambios en las prioridades de gasto del Gobierno Federal que implique el endurecimiento de la política de austeridad se traduciría en una menor recepción de recursos por parte de las dependencias federales</w:t>
      </w:r>
      <w:r w:rsidR="008738AE" w:rsidRPr="00067DF8">
        <w:rPr>
          <w:rFonts w:ascii="Arial" w:hAnsi="Arial" w:cs="Arial"/>
          <w:sz w:val="16"/>
          <w:szCs w:val="16"/>
        </w:rPr>
        <w:t>.</w:t>
      </w:r>
    </w:p>
    <w:p w:rsidR="008738AE" w:rsidRPr="00067DF8" w:rsidRDefault="007F639B" w:rsidP="00540637">
      <w:pPr>
        <w:jc w:val="both"/>
        <w:rPr>
          <w:rFonts w:ascii="Arial" w:hAnsi="Arial" w:cs="Arial"/>
          <w:sz w:val="16"/>
          <w:szCs w:val="16"/>
        </w:rPr>
      </w:pPr>
      <w:r w:rsidRPr="00067DF8">
        <w:rPr>
          <w:rFonts w:ascii="Arial" w:hAnsi="Arial" w:cs="Arial"/>
          <w:sz w:val="16"/>
          <w:szCs w:val="16"/>
        </w:rPr>
        <w:t xml:space="preserve">Una corrección a la baja en las estimaciones del precio del petróleo y la plataforma de exportación establecida en los Criterios Generales de Política Económica, afectaría los ingresos de la Federación por hidrocarburos, lo que implica menores retornos económicos a Entidades </w:t>
      </w:r>
      <w:r w:rsidR="00E92400" w:rsidRPr="00067DF8">
        <w:rPr>
          <w:rFonts w:ascii="Arial" w:hAnsi="Arial" w:cs="Arial"/>
          <w:sz w:val="16"/>
          <w:szCs w:val="16"/>
        </w:rPr>
        <w:t>Federativas</w:t>
      </w:r>
      <w:r w:rsidRPr="00067DF8">
        <w:rPr>
          <w:rFonts w:ascii="Arial" w:hAnsi="Arial" w:cs="Arial"/>
          <w:sz w:val="16"/>
          <w:szCs w:val="16"/>
        </w:rPr>
        <w:t xml:space="preserve">. </w:t>
      </w:r>
    </w:p>
    <w:p w:rsidR="008738AE" w:rsidRPr="00067DF8" w:rsidRDefault="00C37B13" w:rsidP="00540637">
      <w:pPr>
        <w:jc w:val="both"/>
        <w:rPr>
          <w:rFonts w:ascii="Arial" w:hAnsi="Arial" w:cs="Arial"/>
          <w:sz w:val="16"/>
          <w:szCs w:val="16"/>
        </w:rPr>
      </w:pPr>
      <w:r w:rsidRPr="00067DF8">
        <w:rPr>
          <w:rFonts w:ascii="Arial" w:hAnsi="Arial" w:cs="Arial"/>
          <w:sz w:val="16"/>
          <w:szCs w:val="16"/>
        </w:rPr>
        <w:t xml:space="preserve">Disminución en los coeficientes de la Recaudación Federal Participable impactaría en una menor bolsa de recursos a distribuir </w:t>
      </w:r>
      <w:r w:rsidR="0041480C" w:rsidRPr="00067DF8">
        <w:rPr>
          <w:rFonts w:ascii="Arial" w:hAnsi="Arial" w:cs="Arial"/>
          <w:sz w:val="16"/>
          <w:szCs w:val="16"/>
        </w:rPr>
        <w:t>entre las Entidades Federativas, con su efecto en la disminución de las participaciones federales.</w:t>
      </w:r>
    </w:p>
    <w:p w:rsidR="008738AE" w:rsidRPr="00067DF8" w:rsidRDefault="00F10C7B" w:rsidP="00540637">
      <w:pPr>
        <w:jc w:val="both"/>
        <w:rPr>
          <w:rFonts w:ascii="Arial" w:hAnsi="Arial" w:cs="Arial"/>
          <w:sz w:val="16"/>
          <w:szCs w:val="16"/>
        </w:rPr>
      </w:pPr>
      <w:r w:rsidRPr="00067DF8">
        <w:rPr>
          <w:rFonts w:ascii="Arial" w:hAnsi="Arial" w:cs="Arial"/>
          <w:sz w:val="16"/>
          <w:szCs w:val="16"/>
        </w:rPr>
        <w:t>Comportamiento a la baja en la Aportaciones Federales pondría presión para compensar el déficit con recursos estatales provenientes de la recaudación de ingresos locales</w:t>
      </w:r>
      <w:r w:rsidR="008738AE" w:rsidRPr="00067DF8">
        <w:rPr>
          <w:rFonts w:ascii="Arial" w:hAnsi="Arial" w:cs="Arial"/>
          <w:sz w:val="16"/>
          <w:szCs w:val="16"/>
        </w:rPr>
        <w:t>.</w:t>
      </w:r>
    </w:p>
    <w:p w:rsidR="008738AE" w:rsidRPr="00067DF8" w:rsidRDefault="00B160E9" w:rsidP="00540637">
      <w:pPr>
        <w:jc w:val="both"/>
        <w:rPr>
          <w:rFonts w:ascii="Arial" w:hAnsi="Arial" w:cs="Arial"/>
          <w:sz w:val="16"/>
          <w:szCs w:val="16"/>
        </w:rPr>
      </w:pPr>
      <w:r w:rsidRPr="00067DF8">
        <w:rPr>
          <w:rFonts w:ascii="Arial" w:hAnsi="Arial" w:cs="Arial"/>
          <w:sz w:val="16"/>
          <w:szCs w:val="16"/>
        </w:rPr>
        <w:t>El aumento en la recaudación en los ingresos estatales a inicio de esta Administración permitió dar mayor sostenibilidad a la evolución de la deuda pública a largo plazo, aunado a su renegociación. Sin embargo, una caída prolongada del gasto federalizado puede incidir en menores niveles de holgura fiscal.</w:t>
      </w:r>
    </w:p>
    <w:p w:rsidR="008738AE" w:rsidRPr="00067DF8" w:rsidRDefault="00370360" w:rsidP="00540637">
      <w:pPr>
        <w:jc w:val="both"/>
        <w:rPr>
          <w:rFonts w:ascii="Arial" w:hAnsi="Arial" w:cs="Arial"/>
          <w:sz w:val="16"/>
          <w:szCs w:val="16"/>
        </w:rPr>
      </w:pPr>
      <w:r w:rsidRPr="00067DF8">
        <w:rPr>
          <w:rFonts w:ascii="Arial" w:hAnsi="Arial" w:cs="Arial"/>
          <w:sz w:val="16"/>
          <w:szCs w:val="16"/>
        </w:rPr>
        <w:t xml:space="preserve">El comportamiento ascendente de las obligaciones en materia de pensiones, seguirá </w:t>
      </w:r>
      <w:r w:rsidR="00B160E9" w:rsidRPr="00067DF8">
        <w:rPr>
          <w:rFonts w:ascii="Arial" w:hAnsi="Arial" w:cs="Arial"/>
          <w:sz w:val="16"/>
          <w:szCs w:val="16"/>
        </w:rPr>
        <w:t xml:space="preserve">comprometiendo </w:t>
      </w:r>
      <w:r w:rsidRPr="00067DF8">
        <w:rPr>
          <w:rFonts w:ascii="Arial" w:hAnsi="Arial" w:cs="Arial"/>
          <w:sz w:val="16"/>
          <w:szCs w:val="16"/>
        </w:rPr>
        <w:t>el gasto</w:t>
      </w:r>
      <w:r w:rsidR="00F61AC7" w:rsidRPr="00067DF8">
        <w:rPr>
          <w:rFonts w:ascii="Arial" w:hAnsi="Arial" w:cs="Arial"/>
          <w:sz w:val="16"/>
          <w:szCs w:val="16"/>
        </w:rPr>
        <w:t xml:space="preserve"> público </w:t>
      </w:r>
      <w:r w:rsidRPr="00067DF8">
        <w:rPr>
          <w:rFonts w:ascii="Arial" w:hAnsi="Arial" w:cs="Arial"/>
          <w:sz w:val="16"/>
          <w:szCs w:val="16"/>
        </w:rPr>
        <w:t>en el mediano plazo</w:t>
      </w:r>
      <w:r w:rsidR="0007428E" w:rsidRPr="00067DF8">
        <w:rPr>
          <w:rFonts w:ascii="Arial" w:hAnsi="Arial" w:cs="Arial"/>
          <w:sz w:val="16"/>
          <w:szCs w:val="16"/>
        </w:rPr>
        <w:t>.</w:t>
      </w:r>
    </w:p>
    <w:p w:rsidR="008738AE" w:rsidRPr="008738AE" w:rsidRDefault="00E86A9D" w:rsidP="00540637">
      <w:pPr>
        <w:jc w:val="both"/>
        <w:rPr>
          <w:rFonts w:ascii="Arial" w:hAnsi="Arial" w:cs="Arial"/>
          <w:sz w:val="16"/>
          <w:szCs w:val="16"/>
        </w:rPr>
      </w:pPr>
      <w:r w:rsidRPr="00067DF8">
        <w:rPr>
          <w:rFonts w:ascii="Arial" w:hAnsi="Arial" w:cs="Arial"/>
          <w:sz w:val="16"/>
          <w:szCs w:val="16"/>
        </w:rPr>
        <w:t xml:space="preserve">La </w:t>
      </w:r>
      <w:r w:rsidR="007E5AF2" w:rsidRPr="00067DF8">
        <w:rPr>
          <w:rFonts w:ascii="Arial" w:hAnsi="Arial" w:cs="Arial"/>
          <w:sz w:val="16"/>
          <w:szCs w:val="16"/>
        </w:rPr>
        <w:t>presencia de fenómenos naturales perturbadores que afecten a la población y dañen el medio ambiente o a la infraestructura pública podrían requerir erogaci</w:t>
      </w:r>
      <w:r w:rsidR="00F41062" w:rsidRPr="00067DF8">
        <w:rPr>
          <w:rFonts w:ascii="Arial" w:hAnsi="Arial" w:cs="Arial"/>
          <w:sz w:val="16"/>
          <w:szCs w:val="16"/>
        </w:rPr>
        <w:t>ones de recursos extraordinarios.</w:t>
      </w:r>
    </w:p>
    <w:sectPr w:rsidR="008738AE" w:rsidRPr="008738AE" w:rsidSect="00A11E1F">
      <w:headerReference w:type="default" r:id="rId7"/>
      <w:pgSz w:w="15840" w:h="12240" w:orient="landscape"/>
      <w:pgMar w:top="567" w:right="680" w:bottom="567" w:left="96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72" w:rsidRDefault="00651B72" w:rsidP="00B10A2A">
      <w:pPr>
        <w:spacing w:after="0" w:line="240" w:lineRule="auto"/>
      </w:pPr>
      <w:r>
        <w:separator/>
      </w:r>
    </w:p>
  </w:endnote>
  <w:endnote w:type="continuationSeparator" w:id="0">
    <w:p w:rsidR="00651B72" w:rsidRDefault="00651B72" w:rsidP="00B1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72" w:rsidRDefault="00651B72" w:rsidP="00B10A2A">
      <w:pPr>
        <w:spacing w:after="0" w:line="240" w:lineRule="auto"/>
      </w:pPr>
      <w:r>
        <w:separator/>
      </w:r>
    </w:p>
  </w:footnote>
  <w:footnote w:type="continuationSeparator" w:id="0">
    <w:p w:rsidR="00651B72" w:rsidRDefault="00651B72" w:rsidP="00B10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B9" w:rsidRDefault="002B166D">
    <w:pPr>
      <w:pStyle w:val="Encabezado"/>
      <w:rPr>
        <w:noProof/>
      </w:rPr>
    </w:pPr>
    <w:r>
      <w:rPr>
        <w:noProof/>
      </w:rPr>
      <mc:AlternateContent>
        <mc:Choice Requires="wps">
          <w:drawing>
            <wp:anchor distT="0" distB="0" distL="114300" distR="114300" simplePos="0" relativeHeight="251663360" behindDoc="0" locked="0" layoutInCell="1" allowOverlap="1" wp14:anchorId="6DB2CC0D" wp14:editId="7F4B0C00">
              <wp:simplePos x="0" y="0"/>
              <wp:positionH relativeFrom="column">
                <wp:posOffset>-133350</wp:posOffset>
              </wp:positionH>
              <wp:positionV relativeFrom="paragraph">
                <wp:posOffset>73660</wp:posOffset>
              </wp:positionV>
              <wp:extent cx="838200" cy="11239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3950"/>
                      </a:xfrm>
                      <a:prstGeom prst="rect">
                        <a:avLst/>
                      </a:prstGeom>
                      <a:solidFill>
                        <a:srgbClr val="FFFFFF"/>
                      </a:solidFill>
                      <a:ln w="9525">
                        <a:noFill/>
                        <a:miter lim="800000"/>
                        <a:headEnd/>
                        <a:tailEnd/>
                      </a:ln>
                    </wps:spPr>
                    <wps:txbx>
                      <w:txbxContent>
                        <w:p w:rsidR="006E08B9" w:rsidRDefault="006E08B9">
                          <w:r>
                            <w:rPr>
                              <w:noProof/>
                            </w:rPr>
                            <w:drawing>
                              <wp:inline distT="0" distB="0" distL="0" distR="0" wp14:anchorId="72B06FA5" wp14:editId="75B81455">
                                <wp:extent cx="695325" cy="971550"/>
                                <wp:effectExtent l="0" t="0" r="0" b="0"/>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2"/>
                                        <pic:cNvPicPr>
                                          <a:picLocks/>
                                        </pic:cNvPicPr>
                                      </pic:nvPicPr>
                                      <pic:blipFill rotWithShape="1">
                                        <a:blip r:embed="rId1" cstate="print"/>
                                        <a:srcRect l="30058" t="-2622" r="23699" b="350"/>
                                        <a:stretch/>
                                      </pic:blipFill>
                                      <pic:spPr>
                                        <a:xfrm>
                                          <a:off x="0" y="0"/>
                                          <a:ext cx="695325" cy="971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5pt;margin-top:5.8pt;width:66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" stroked="f">
              <v:textbox>
                <w:txbxContent>
                  <w:p w:rsidR="006E08B9" w:rsidRDefault="006E08B9">
                    <w:r>
                      <w:rPr>
                        <w:noProof/>
                      </w:rPr>
                      <w:drawing>
                        <wp:inline distT="0" distB="0" distL="0" distR="0" wp14:anchorId="72B06FA5" wp14:editId="75B81455">
                          <wp:extent cx="695325" cy="971550"/>
                          <wp:effectExtent l="0" t="0" r="0" b="0"/>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2"/>
                                  <pic:cNvPicPr>
                                    <a:picLocks/>
                                  </pic:cNvPicPr>
                                </pic:nvPicPr>
                                <pic:blipFill rotWithShape="1">
                                  <a:blip r:embed="rId1" cstate="print"/>
                                  <a:srcRect l="30058" t="-2622" r="23699" b="350"/>
                                  <a:stretch/>
                                </pic:blipFill>
                                <pic:spPr>
                                  <a:xfrm>
                                    <a:off x="0" y="0"/>
                                    <a:ext cx="695325" cy="971550"/>
                                  </a:xfrm>
                                  <a:prstGeom prst="rect">
                                    <a:avLst/>
                                  </a:prstGeom>
                                </pic:spPr>
                              </pic:pic>
                            </a:graphicData>
                          </a:graphic>
                        </wp:inline>
                      </w:drawing>
                    </w:r>
                  </w:p>
                </w:txbxContent>
              </v:textbox>
            </v:shape>
          </w:pict>
        </mc:Fallback>
      </mc:AlternateContent>
    </w:r>
  </w:p>
  <w:p w:rsidR="006E08B9" w:rsidRDefault="006E08B9">
    <w:pPr>
      <w:pStyle w:val="Encabezado"/>
      <w:rPr>
        <w:noProof/>
      </w:rPr>
    </w:pPr>
  </w:p>
  <w:p w:rsidR="006E08B9" w:rsidRDefault="006E08B9">
    <w:pPr>
      <w:pStyle w:val="Encabezado"/>
      <w:rPr>
        <w:noProof/>
      </w:rPr>
    </w:pPr>
  </w:p>
  <w:p w:rsidR="006E08B9" w:rsidRDefault="002B166D">
    <w:pPr>
      <w:pStyle w:val="Encabezado"/>
      <w:rPr>
        <w:noProof/>
      </w:rPr>
    </w:pPr>
    <w:r>
      <w:rPr>
        <w:noProof/>
      </w:rPr>
      <mc:AlternateContent>
        <mc:Choice Requires="wps">
          <w:drawing>
            <wp:anchor distT="0" distB="0" distL="114300" distR="114300" simplePos="0" relativeHeight="251659264" behindDoc="0" locked="0" layoutInCell="1" allowOverlap="1" wp14:anchorId="7D1850CF" wp14:editId="28E11C4C">
              <wp:simplePos x="0" y="0"/>
              <wp:positionH relativeFrom="column">
                <wp:posOffset>647065</wp:posOffset>
              </wp:positionH>
              <wp:positionV relativeFrom="paragraph">
                <wp:posOffset>103505</wp:posOffset>
              </wp:positionV>
              <wp:extent cx="3562350" cy="2857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85750"/>
                      </a:xfrm>
                      <a:prstGeom prst="rect">
                        <a:avLst/>
                      </a:prstGeom>
                      <a:solidFill>
                        <a:srgbClr val="FFFFFF"/>
                      </a:solidFill>
                      <a:ln w="9525">
                        <a:noFill/>
                        <a:miter lim="800000"/>
                        <a:headEnd/>
                        <a:tailEnd/>
                      </a:ln>
                    </wps:spPr>
                    <wps:txbx>
                      <w:txbxContent>
                        <w:p w:rsidR="006E1F0E" w:rsidRPr="00994F06" w:rsidRDefault="006E1F0E">
                          <w:pPr>
                            <w:rPr>
                              <w:rFonts w:ascii="Arial" w:hAnsi="Arial" w:cs="Arial"/>
                              <w:b/>
                              <w:color w:val="861D31"/>
                              <w:sz w:val="26"/>
                              <w:szCs w:val="26"/>
                            </w:rPr>
                          </w:pPr>
                          <w:r w:rsidRPr="00994F06">
                            <w:rPr>
                              <w:rFonts w:ascii="Arial" w:hAnsi="Arial" w:cs="Arial"/>
                              <w:b/>
                              <w:color w:val="861D31"/>
                              <w:sz w:val="26"/>
                              <w:szCs w:val="26"/>
                            </w:rPr>
                            <w:t>Anexo 52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50.95pt;margin-top:8.15pt;width:280.5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" stroked="f">
              <v:textbox>
                <w:txbxContent>
                  <w:p w:rsidR="006E1F0E" w:rsidRPr="00994F06" w:rsidRDefault="006E1F0E">
                    <w:pPr>
                      <w:rPr>
                        <w:rFonts w:ascii="Arial" w:hAnsi="Arial" w:cs="Arial"/>
                        <w:b/>
                        <w:color w:val="861D31"/>
                        <w:sz w:val="26"/>
                        <w:szCs w:val="26"/>
                      </w:rPr>
                    </w:pPr>
                    <w:r w:rsidRPr="00994F06">
                      <w:rPr>
                        <w:rFonts w:ascii="Arial" w:hAnsi="Arial" w:cs="Arial"/>
                        <w:b/>
                        <w:color w:val="861D31"/>
                        <w:sz w:val="26"/>
                        <w:szCs w:val="26"/>
                      </w:rPr>
                      <w:t>Anexo 52</w:t>
                    </w:r>
                  </w:p>
                </w:txbxContent>
              </v:textbox>
            </v:shape>
          </w:pict>
        </mc:Fallback>
      </mc:AlternateContent>
    </w:r>
  </w:p>
  <w:p w:rsidR="006E08B9" w:rsidRDefault="002B166D">
    <w:pPr>
      <w:pStyle w:val="Encabezado"/>
      <w:rPr>
        <w:noProof/>
      </w:rPr>
    </w:pPr>
    <w:r>
      <w:rPr>
        <w:noProof/>
      </w:rPr>
      <mc:AlternateContent>
        <mc:Choice Requires="wps">
          <w:drawing>
            <wp:anchor distT="0" distB="0" distL="114300" distR="114300" simplePos="0" relativeHeight="251661312" behindDoc="0" locked="0" layoutInCell="1" allowOverlap="1" wp14:anchorId="5F075644" wp14:editId="3785538F">
              <wp:simplePos x="0" y="0"/>
              <wp:positionH relativeFrom="column">
                <wp:posOffset>651510</wp:posOffset>
              </wp:positionH>
              <wp:positionV relativeFrom="paragraph">
                <wp:posOffset>163195</wp:posOffset>
              </wp:positionV>
              <wp:extent cx="7029450" cy="3429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42900"/>
                      </a:xfrm>
                      <a:prstGeom prst="rect">
                        <a:avLst/>
                      </a:prstGeom>
                      <a:solidFill>
                        <a:srgbClr val="FFFFFF"/>
                      </a:solidFill>
                      <a:ln w="9525">
                        <a:noFill/>
                        <a:miter lim="800000"/>
                        <a:headEnd/>
                        <a:tailEnd/>
                      </a:ln>
                    </wps:spPr>
                    <wps:txbx>
                      <w:txbxContent>
                        <w:p w:rsidR="006E1F0E" w:rsidRPr="00994F06" w:rsidRDefault="006E1F0E" w:rsidP="006E1F0E">
                          <w:pPr>
                            <w:rPr>
                              <w:rFonts w:ascii="Arial" w:hAnsi="Arial" w:cs="Arial"/>
                              <w:b/>
                              <w:color w:val="861D31"/>
                              <w:sz w:val="26"/>
                              <w:szCs w:val="26"/>
                            </w:rPr>
                          </w:pPr>
                          <w:r w:rsidRPr="009C101A">
                            <w:rPr>
                              <w:rFonts w:ascii="Arial" w:hAnsi="Arial" w:cs="Arial"/>
                              <w:b/>
                              <w:color w:val="861D31"/>
                              <w:sz w:val="26"/>
                              <w:szCs w:val="26"/>
                            </w:rPr>
                            <w:t>Objetivos Anuales</w:t>
                          </w:r>
                          <w:r w:rsidR="006E08B9" w:rsidRPr="009C101A">
                            <w:rPr>
                              <w:rFonts w:ascii="Arial" w:hAnsi="Arial" w:cs="Arial"/>
                              <w:b/>
                              <w:color w:val="861D31"/>
                              <w:sz w:val="26"/>
                              <w:szCs w:val="26"/>
                            </w:rPr>
                            <w:t>, Estrategias, Metas y</w:t>
                          </w:r>
                          <w:r w:rsidRPr="009C101A">
                            <w:rPr>
                              <w:rFonts w:ascii="Arial" w:hAnsi="Arial" w:cs="Arial"/>
                              <w:b/>
                              <w:color w:val="861D31"/>
                              <w:sz w:val="26"/>
                              <w:szCs w:val="26"/>
                            </w:rPr>
                            <w:t xml:space="preserve"> </w:t>
                          </w:r>
                          <w:r w:rsidR="006E08B9" w:rsidRPr="009C101A">
                            <w:rPr>
                              <w:rFonts w:ascii="Arial" w:hAnsi="Arial" w:cs="Arial"/>
                              <w:b/>
                              <w:color w:val="861D31"/>
                              <w:sz w:val="26"/>
                              <w:szCs w:val="26"/>
                            </w:rPr>
                            <w:t>Riesgos Relevantes de los Egresos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3pt;margin-top:12.85pt;width:55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" stroked="f">
              <v:textbox>
                <w:txbxContent>
                  <w:p w:rsidR="006E1F0E" w:rsidRPr="00994F06" w:rsidRDefault="006E1F0E" w:rsidP="006E1F0E">
                    <w:pPr>
                      <w:rPr>
                        <w:rFonts w:ascii="Arial" w:hAnsi="Arial" w:cs="Arial"/>
                        <w:b/>
                        <w:color w:val="861D31"/>
                        <w:sz w:val="26"/>
                        <w:szCs w:val="26"/>
                      </w:rPr>
                    </w:pPr>
                    <w:r w:rsidRPr="009C101A">
                      <w:rPr>
                        <w:rFonts w:ascii="Arial" w:hAnsi="Arial" w:cs="Arial"/>
                        <w:b/>
                        <w:color w:val="861D31"/>
                        <w:sz w:val="26"/>
                        <w:szCs w:val="26"/>
                      </w:rPr>
                      <w:t>Objetivos Anuales</w:t>
                    </w:r>
                    <w:r w:rsidR="006E08B9" w:rsidRPr="009C101A">
                      <w:rPr>
                        <w:rFonts w:ascii="Arial" w:hAnsi="Arial" w:cs="Arial"/>
                        <w:b/>
                        <w:color w:val="861D31"/>
                        <w:sz w:val="26"/>
                        <w:szCs w:val="26"/>
                      </w:rPr>
                      <w:t>, Estrategias, Metas y</w:t>
                    </w:r>
                    <w:r w:rsidRPr="009C101A">
                      <w:rPr>
                        <w:rFonts w:ascii="Arial" w:hAnsi="Arial" w:cs="Arial"/>
                        <w:b/>
                        <w:color w:val="861D31"/>
                        <w:sz w:val="26"/>
                        <w:szCs w:val="26"/>
                      </w:rPr>
                      <w:t xml:space="preserve"> </w:t>
                    </w:r>
                    <w:r w:rsidR="006E08B9" w:rsidRPr="009C101A">
                      <w:rPr>
                        <w:rFonts w:ascii="Arial" w:hAnsi="Arial" w:cs="Arial"/>
                        <w:b/>
                        <w:color w:val="861D31"/>
                        <w:sz w:val="26"/>
                        <w:szCs w:val="26"/>
                      </w:rPr>
                      <w:t>Riesgos Relevantes de los Egresos</w:t>
                    </w:r>
                  </w:p>
                </w:txbxContent>
              </v:textbox>
            </v:shape>
          </w:pict>
        </mc:Fallback>
      </mc:AlternateContent>
    </w:r>
  </w:p>
  <w:p w:rsidR="006E08B9" w:rsidRDefault="006E08B9">
    <w:pPr>
      <w:pStyle w:val="Encabezado"/>
      <w:rPr>
        <w:noProof/>
        <w:sz w:val="4"/>
        <w:szCs w:val="4"/>
      </w:rPr>
    </w:pPr>
  </w:p>
  <w:p w:rsidR="006E08B9" w:rsidRDefault="006E08B9">
    <w:pPr>
      <w:pStyle w:val="Encabezado"/>
      <w:rPr>
        <w:noProof/>
        <w:sz w:val="4"/>
        <w:szCs w:val="4"/>
      </w:rPr>
    </w:pPr>
  </w:p>
  <w:p w:rsidR="006E08B9" w:rsidRDefault="006E08B9">
    <w:pPr>
      <w:pStyle w:val="Encabezado"/>
      <w:rPr>
        <w:noProof/>
        <w:sz w:val="4"/>
        <w:szCs w:val="4"/>
      </w:rPr>
    </w:pPr>
  </w:p>
  <w:p w:rsidR="006E08B9" w:rsidRDefault="006E08B9">
    <w:pPr>
      <w:pStyle w:val="Encabezado"/>
      <w:rPr>
        <w:noProof/>
        <w:sz w:val="4"/>
        <w:szCs w:val="4"/>
      </w:rPr>
    </w:pPr>
  </w:p>
  <w:p w:rsidR="000C6BFE" w:rsidRPr="006E08B9" w:rsidRDefault="006E1F0E">
    <w:pPr>
      <w:pStyle w:val="Encabezado"/>
      <w:rPr>
        <w:noProof/>
      </w:rPr>
    </w:pPr>
    <w:r>
      <w:t xml:space="preserve">      </w:t>
    </w:r>
    <w:r w:rsidR="006E08B9">
      <w:rPr>
        <w:rFonts w:ascii="Arial" w:hAnsi="Arial" w:cs="Arial"/>
        <w:b/>
        <w:color w:val="861D31"/>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63"/>
    <w:rsid w:val="0001438E"/>
    <w:rsid w:val="0001507D"/>
    <w:rsid w:val="00022FC5"/>
    <w:rsid w:val="00027D69"/>
    <w:rsid w:val="000336B0"/>
    <w:rsid w:val="00036E61"/>
    <w:rsid w:val="00045DC0"/>
    <w:rsid w:val="00053048"/>
    <w:rsid w:val="00053540"/>
    <w:rsid w:val="00067B38"/>
    <w:rsid w:val="00067DF8"/>
    <w:rsid w:val="0007428E"/>
    <w:rsid w:val="000A5C3C"/>
    <w:rsid w:val="000C6BFE"/>
    <w:rsid w:val="000D1923"/>
    <w:rsid w:val="000D2DD2"/>
    <w:rsid w:val="000F114D"/>
    <w:rsid w:val="000F666E"/>
    <w:rsid w:val="000F73E0"/>
    <w:rsid w:val="00126655"/>
    <w:rsid w:val="00127443"/>
    <w:rsid w:val="00154B33"/>
    <w:rsid w:val="001618F9"/>
    <w:rsid w:val="0017313E"/>
    <w:rsid w:val="0017493D"/>
    <w:rsid w:val="001763D6"/>
    <w:rsid w:val="001C4E0F"/>
    <w:rsid w:val="001D562B"/>
    <w:rsid w:val="001E190F"/>
    <w:rsid w:val="00222FDC"/>
    <w:rsid w:val="0023259B"/>
    <w:rsid w:val="002342D4"/>
    <w:rsid w:val="002378B8"/>
    <w:rsid w:val="00256090"/>
    <w:rsid w:val="00275AF9"/>
    <w:rsid w:val="00297262"/>
    <w:rsid w:val="002B166D"/>
    <w:rsid w:val="002C2685"/>
    <w:rsid w:val="002D6C9C"/>
    <w:rsid w:val="002F56C9"/>
    <w:rsid w:val="003073D4"/>
    <w:rsid w:val="00316AAB"/>
    <w:rsid w:val="003407E6"/>
    <w:rsid w:val="00346B37"/>
    <w:rsid w:val="00362721"/>
    <w:rsid w:val="00370360"/>
    <w:rsid w:val="003A5DD4"/>
    <w:rsid w:val="003A7B49"/>
    <w:rsid w:val="003B0294"/>
    <w:rsid w:val="003B5E0F"/>
    <w:rsid w:val="003C1219"/>
    <w:rsid w:val="003C5137"/>
    <w:rsid w:val="003F693D"/>
    <w:rsid w:val="0041039A"/>
    <w:rsid w:val="0041480C"/>
    <w:rsid w:val="00416011"/>
    <w:rsid w:val="00421AA0"/>
    <w:rsid w:val="00427A49"/>
    <w:rsid w:val="004456CC"/>
    <w:rsid w:val="004512E3"/>
    <w:rsid w:val="004556A0"/>
    <w:rsid w:val="00473164"/>
    <w:rsid w:val="00477104"/>
    <w:rsid w:val="0047756B"/>
    <w:rsid w:val="004806C1"/>
    <w:rsid w:val="004921F4"/>
    <w:rsid w:val="004967CF"/>
    <w:rsid w:val="004979E9"/>
    <w:rsid w:val="004C6B53"/>
    <w:rsid w:val="004D24D2"/>
    <w:rsid w:val="004E6099"/>
    <w:rsid w:val="004F6090"/>
    <w:rsid w:val="00507AFD"/>
    <w:rsid w:val="00511F14"/>
    <w:rsid w:val="00524D49"/>
    <w:rsid w:val="00540637"/>
    <w:rsid w:val="005453F3"/>
    <w:rsid w:val="00560BEB"/>
    <w:rsid w:val="00576B4A"/>
    <w:rsid w:val="005A303B"/>
    <w:rsid w:val="005A3AF2"/>
    <w:rsid w:val="005D1B30"/>
    <w:rsid w:val="005E543D"/>
    <w:rsid w:val="005F07D1"/>
    <w:rsid w:val="00601C4D"/>
    <w:rsid w:val="00602C62"/>
    <w:rsid w:val="00605349"/>
    <w:rsid w:val="00643169"/>
    <w:rsid w:val="0064661D"/>
    <w:rsid w:val="00651B72"/>
    <w:rsid w:val="0065398C"/>
    <w:rsid w:val="00670843"/>
    <w:rsid w:val="00670F7A"/>
    <w:rsid w:val="006726F9"/>
    <w:rsid w:val="006A6041"/>
    <w:rsid w:val="006E08B9"/>
    <w:rsid w:val="006E1F0E"/>
    <w:rsid w:val="006E2F58"/>
    <w:rsid w:val="006E48B0"/>
    <w:rsid w:val="006E545B"/>
    <w:rsid w:val="006F651C"/>
    <w:rsid w:val="0070209D"/>
    <w:rsid w:val="007023CF"/>
    <w:rsid w:val="0072209C"/>
    <w:rsid w:val="007600AE"/>
    <w:rsid w:val="00775A70"/>
    <w:rsid w:val="00775E00"/>
    <w:rsid w:val="007936CF"/>
    <w:rsid w:val="00794FA5"/>
    <w:rsid w:val="007D726A"/>
    <w:rsid w:val="007E5AF2"/>
    <w:rsid w:val="007E737C"/>
    <w:rsid w:val="007F243C"/>
    <w:rsid w:val="007F32F4"/>
    <w:rsid w:val="007F639B"/>
    <w:rsid w:val="00807CA8"/>
    <w:rsid w:val="008145CC"/>
    <w:rsid w:val="00820D5C"/>
    <w:rsid w:val="008231B6"/>
    <w:rsid w:val="00841220"/>
    <w:rsid w:val="00866974"/>
    <w:rsid w:val="008669BA"/>
    <w:rsid w:val="008738AE"/>
    <w:rsid w:val="00873F22"/>
    <w:rsid w:val="00875010"/>
    <w:rsid w:val="00882411"/>
    <w:rsid w:val="008A675A"/>
    <w:rsid w:val="008B26E4"/>
    <w:rsid w:val="008B4312"/>
    <w:rsid w:val="008D330B"/>
    <w:rsid w:val="008E50E9"/>
    <w:rsid w:val="00903758"/>
    <w:rsid w:val="00916E18"/>
    <w:rsid w:val="0092675E"/>
    <w:rsid w:val="0093296D"/>
    <w:rsid w:val="00956684"/>
    <w:rsid w:val="00971D2B"/>
    <w:rsid w:val="00990FF9"/>
    <w:rsid w:val="00994F06"/>
    <w:rsid w:val="009B6409"/>
    <w:rsid w:val="009C0427"/>
    <w:rsid w:val="009C101A"/>
    <w:rsid w:val="009D538E"/>
    <w:rsid w:val="009D5FE9"/>
    <w:rsid w:val="009E6E1A"/>
    <w:rsid w:val="00A11E1F"/>
    <w:rsid w:val="00A1359D"/>
    <w:rsid w:val="00A30B7C"/>
    <w:rsid w:val="00A337FD"/>
    <w:rsid w:val="00A70E0D"/>
    <w:rsid w:val="00A731B1"/>
    <w:rsid w:val="00A75289"/>
    <w:rsid w:val="00A947F3"/>
    <w:rsid w:val="00AA64E4"/>
    <w:rsid w:val="00AC3029"/>
    <w:rsid w:val="00AD67EE"/>
    <w:rsid w:val="00AD7C00"/>
    <w:rsid w:val="00AE3ED7"/>
    <w:rsid w:val="00B03DFF"/>
    <w:rsid w:val="00B10A2A"/>
    <w:rsid w:val="00B160E9"/>
    <w:rsid w:val="00B33449"/>
    <w:rsid w:val="00B35E11"/>
    <w:rsid w:val="00B851EB"/>
    <w:rsid w:val="00BC5DD4"/>
    <w:rsid w:val="00BF4408"/>
    <w:rsid w:val="00C118F1"/>
    <w:rsid w:val="00C16B46"/>
    <w:rsid w:val="00C35ABB"/>
    <w:rsid w:val="00C37B13"/>
    <w:rsid w:val="00C5658F"/>
    <w:rsid w:val="00C94F3D"/>
    <w:rsid w:val="00CB499E"/>
    <w:rsid w:val="00CC1763"/>
    <w:rsid w:val="00CD486C"/>
    <w:rsid w:val="00CE6753"/>
    <w:rsid w:val="00D16A26"/>
    <w:rsid w:val="00D41ACD"/>
    <w:rsid w:val="00D502F4"/>
    <w:rsid w:val="00D67548"/>
    <w:rsid w:val="00D71183"/>
    <w:rsid w:val="00DE252A"/>
    <w:rsid w:val="00E22658"/>
    <w:rsid w:val="00E3077A"/>
    <w:rsid w:val="00E32D48"/>
    <w:rsid w:val="00E50E20"/>
    <w:rsid w:val="00E7607D"/>
    <w:rsid w:val="00E80044"/>
    <w:rsid w:val="00E84F11"/>
    <w:rsid w:val="00E86A9D"/>
    <w:rsid w:val="00E92400"/>
    <w:rsid w:val="00EA50D6"/>
    <w:rsid w:val="00EC23B5"/>
    <w:rsid w:val="00EC2D5C"/>
    <w:rsid w:val="00EC426D"/>
    <w:rsid w:val="00ED4341"/>
    <w:rsid w:val="00EE1EC0"/>
    <w:rsid w:val="00F10191"/>
    <w:rsid w:val="00F10C7B"/>
    <w:rsid w:val="00F27E56"/>
    <w:rsid w:val="00F40557"/>
    <w:rsid w:val="00F41062"/>
    <w:rsid w:val="00F431C5"/>
    <w:rsid w:val="00F50918"/>
    <w:rsid w:val="00F5632D"/>
    <w:rsid w:val="00F61AC7"/>
    <w:rsid w:val="00F9229F"/>
    <w:rsid w:val="00F97B44"/>
    <w:rsid w:val="00FF3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17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763"/>
    <w:rPr>
      <w:rFonts w:ascii="Tahoma" w:hAnsi="Tahoma" w:cs="Tahoma"/>
      <w:sz w:val="16"/>
      <w:szCs w:val="16"/>
    </w:rPr>
  </w:style>
  <w:style w:type="table" w:styleId="Tablaconcuadrcula">
    <w:name w:val="Table Grid"/>
    <w:basedOn w:val="Tablanormal"/>
    <w:uiPriority w:val="59"/>
    <w:rsid w:val="00421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1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A2A"/>
  </w:style>
  <w:style w:type="paragraph" w:styleId="Piedepgina">
    <w:name w:val="footer"/>
    <w:basedOn w:val="Normal"/>
    <w:link w:val="PiedepginaCar"/>
    <w:uiPriority w:val="99"/>
    <w:unhideWhenUsed/>
    <w:rsid w:val="00B1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17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763"/>
    <w:rPr>
      <w:rFonts w:ascii="Tahoma" w:hAnsi="Tahoma" w:cs="Tahoma"/>
      <w:sz w:val="16"/>
      <w:szCs w:val="16"/>
    </w:rPr>
  </w:style>
  <w:style w:type="table" w:styleId="Tablaconcuadrcula">
    <w:name w:val="Table Grid"/>
    <w:basedOn w:val="Tablanormal"/>
    <w:uiPriority w:val="59"/>
    <w:rsid w:val="00421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1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A2A"/>
  </w:style>
  <w:style w:type="paragraph" w:styleId="Piedepgina">
    <w:name w:val="footer"/>
    <w:basedOn w:val="Normal"/>
    <w:link w:val="PiedepginaCar"/>
    <w:uiPriority w:val="99"/>
    <w:unhideWhenUsed/>
    <w:rsid w:val="00B1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570</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7</cp:revision>
  <cp:lastPrinted>2020-11-24T20:50:00Z</cp:lastPrinted>
  <dcterms:created xsi:type="dcterms:W3CDTF">2020-11-17T19:32:00Z</dcterms:created>
  <dcterms:modified xsi:type="dcterms:W3CDTF">2020-11-24T20:56:00Z</dcterms:modified>
</cp:coreProperties>
</file>