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185FC3">
        <w:rPr>
          <w:rFonts w:ascii="Trebuchet MS" w:hAnsi="Trebuchet MS"/>
          <w:b/>
          <w:bCs/>
          <w:iCs/>
          <w:lang w:val="es-MX"/>
        </w:rPr>
        <w:t>PROGRAMACION Y PRESUPUESTO</w:t>
      </w:r>
    </w:p>
    <w:p w:rsidR="00185FC3" w:rsidRPr="00386234" w:rsidRDefault="00185FC3" w:rsidP="00386234">
      <w:pPr>
        <w:jc w:val="center"/>
        <w:rPr>
          <w:rFonts w:ascii="Trebuchet MS" w:hAnsi="Trebuchet MS"/>
          <w:b/>
          <w:bCs/>
          <w:iCs/>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185FC3" w:rsidRPr="00185FC3">
        <w:rPr>
          <w:rFonts w:ascii="Trebuchet MS" w:hAnsi="Trebuchet MS"/>
          <w:bCs/>
          <w:iCs/>
          <w:sz w:val="17"/>
          <w:szCs w:val="17"/>
          <w:lang w:val="es-MX"/>
        </w:rPr>
        <w:t>Programación y Presupuesto</w:t>
      </w:r>
      <w:r w:rsidRPr="002749E8">
        <w:rPr>
          <w:rFonts w:ascii="Trebuchet MS" w:hAnsi="Trebuchet MS"/>
          <w:bCs/>
          <w:iCs/>
          <w:sz w:val="17"/>
          <w:szCs w:val="17"/>
          <w:lang w:val="es-MX"/>
        </w:rPr>
        <w:t xml:space="preserve"> 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185FC3">
        <w:rPr>
          <w:rFonts w:ascii="Trebuchet MS" w:hAnsi="Trebuchet MS"/>
          <w:bCs/>
          <w:iCs/>
          <w:sz w:val="17"/>
          <w:szCs w:val="17"/>
          <w:lang w:val="es-MX"/>
        </w:rPr>
        <w:t>tercer</w:t>
      </w:r>
      <w:r w:rsidR="00637FFE" w:rsidRPr="002749E8">
        <w:rPr>
          <w:rFonts w:ascii="Trebuchet MS" w:hAnsi="Trebuchet MS"/>
          <w:bCs/>
          <w:iCs/>
          <w:sz w:val="17"/>
          <w:szCs w:val="17"/>
          <w:lang w:val="es-MX"/>
        </w:rPr>
        <w:t xml:space="preserve">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185FC3" w:rsidRDefault="00547B69" w:rsidP="00547B69">
      <w:pPr>
        <w:jc w:val="both"/>
        <w:rPr>
          <w:sz w:val="17"/>
          <w:szCs w:val="17"/>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185FC3" w:rsidRPr="00185FC3">
        <w:rPr>
          <w:rFonts w:ascii="Trebuchet MS" w:hAnsi="Trebuchet MS"/>
          <w:bCs/>
          <w:iCs/>
          <w:sz w:val="17"/>
          <w:szCs w:val="17"/>
          <w:lang w:val="es-MX"/>
        </w:rPr>
        <w:t>Programación y Presupuesto</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de</w:t>
      </w:r>
      <w:r w:rsidR="001B6D63" w:rsidRPr="002749E8">
        <w:rPr>
          <w:rFonts w:ascii="Trebuchet MS" w:hAnsi="Trebuchet MS"/>
          <w:bCs/>
          <w:iCs/>
          <w:sz w:val="17"/>
          <w:szCs w:val="17"/>
          <w:lang w:val="es-MX"/>
        </w:rPr>
        <w:t xml:space="preserve"> </w:t>
      </w:r>
      <w:r w:rsidR="00185FC3" w:rsidRPr="00185FC3">
        <w:rPr>
          <w:rFonts w:ascii="Trebuchet MS" w:hAnsi="Trebuchet MS"/>
          <w:bCs/>
          <w:iCs/>
          <w:sz w:val="17"/>
          <w:szCs w:val="17"/>
        </w:rPr>
        <w:t>contribuir conjuntamente con las unidades administrativas de la Secretaría en la formulación e instrumentación de la política hacendaría, así como en las directrices financieras a las que se deberán someter las dependencias y entidades;</w:t>
      </w:r>
      <w:r w:rsidR="00185FC3" w:rsidRPr="00185FC3">
        <w:t xml:space="preserve"> </w:t>
      </w:r>
      <w:r w:rsidR="00185FC3" w:rsidRPr="00185FC3">
        <w:rPr>
          <w:rFonts w:ascii="Trebuchet MS" w:hAnsi="Trebuchet MS"/>
          <w:bCs/>
          <w:iCs/>
          <w:sz w:val="17"/>
          <w:szCs w:val="17"/>
        </w:rPr>
        <w:t>apoyar a las dependencias y entidades en la formulación de sus anteproyectos de presupuesto de egresos;</w:t>
      </w:r>
      <w:r w:rsidR="00185FC3" w:rsidRPr="00185FC3">
        <w:t xml:space="preserve"> </w:t>
      </w:r>
      <w:r w:rsidR="00185FC3" w:rsidRPr="00185FC3">
        <w:rPr>
          <w:rFonts w:ascii="Trebuchet MS" w:hAnsi="Trebuchet MS"/>
          <w:bCs/>
          <w:iCs/>
          <w:sz w:val="17"/>
          <w:szCs w:val="17"/>
        </w:rPr>
        <w:t>proponer al Subsecretario de Egresos los programas de capacitación sobre programación-presupuestación hacia el interior de las dependencias y entidades;</w:t>
      </w:r>
      <w:r w:rsidR="00185FC3" w:rsidRPr="00185FC3">
        <w:t xml:space="preserve"> </w:t>
      </w:r>
      <w:r w:rsidR="00185FC3" w:rsidRPr="00185FC3">
        <w:rPr>
          <w:rFonts w:ascii="Trebuchet MS" w:hAnsi="Trebuchet MS"/>
          <w:bCs/>
          <w:iCs/>
          <w:sz w:val="17"/>
          <w:szCs w:val="17"/>
        </w:rPr>
        <w:t>elaborar los oficios de autorización presupuestal a los ejecutores del gasto, para el respectivo ejercicio del gasto de inversión del Poder Ejecutivo del Estado, previa solicitud de los ejecutores;</w:t>
      </w:r>
      <w:r w:rsidR="00185FC3" w:rsidRPr="00185FC3">
        <w:rPr>
          <w:rFonts w:ascii="Trebuchet MS" w:hAnsi="Trebuchet MS"/>
          <w:sz w:val="16"/>
          <w:szCs w:val="16"/>
        </w:rPr>
        <w:t xml:space="preserve"> </w:t>
      </w:r>
      <w:r w:rsidR="00185FC3" w:rsidRPr="00185FC3">
        <w:rPr>
          <w:rFonts w:ascii="Trebuchet MS" w:hAnsi="Trebuchet MS"/>
          <w:sz w:val="17"/>
          <w:szCs w:val="17"/>
        </w:rPr>
        <w:t>analizar y dictaminar las solicitudes de adecuación presupuestal conforme a los presupuestos asignados a los ejecutores de gasto correspondientes</w:t>
      </w:r>
      <w:r w:rsidR="00185FC3">
        <w:rPr>
          <w:rFonts w:ascii="Trebuchet MS" w:hAnsi="Trebuchet MS"/>
          <w:sz w:val="17"/>
          <w:szCs w:val="17"/>
        </w:rPr>
        <w:t xml:space="preserve"> y </w:t>
      </w:r>
      <w:r w:rsidR="00185FC3" w:rsidRPr="00185FC3">
        <w:rPr>
          <w:rFonts w:ascii="Trebuchet MS" w:hAnsi="Trebuchet MS"/>
          <w:sz w:val="17"/>
          <w:szCs w:val="17"/>
        </w:rPr>
        <w:t>atender los requerimientos de información en materia de presupuesto, para su incorporación al informe anual de gobierno</w:t>
      </w:r>
      <w:r w:rsidR="00215E1A" w:rsidRPr="002749E8">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1B6D63">
        <w:rPr>
          <w:rFonts w:ascii="Trebuchet MS" w:hAnsi="Trebuchet MS"/>
          <w:bCs/>
          <w:iCs/>
          <w:sz w:val="17"/>
          <w:szCs w:val="17"/>
          <w:lang w:val="es-MX"/>
        </w:rPr>
        <w:t>4</w:t>
      </w:r>
      <w:r w:rsidR="00185FC3">
        <w:rPr>
          <w:rFonts w:ascii="Trebuchet MS" w:hAnsi="Trebuchet MS"/>
          <w:bCs/>
          <w:iCs/>
          <w:sz w:val="17"/>
          <w:szCs w:val="17"/>
          <w:lang w:val="es-MX"/>
        </w:rPr>
        <w:t>8</w:t>
      </w:r>
      <w:r w:rsidRPr="002749E8">
        <w:rPr>
          <w:rFonts w:ascii="Trebuchet MS" w:hAnsi="Trebuchet MS"/>
          <w:bCs/>
          <w:iCs/>
          <w:sz w:val="17"/>
          <w:szCs w:val="17"/>
          <w:lang w:val="es-MX"/>
        </w:rPr>
        <w:t xml:space="preserve"> 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AA3D18"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2D2319" w:rsidRDefault="002D2319" w:rsidP="002D2319">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BD" w:rsidRDefault="006D20BD">
      <w:r>
        <w:separator/>
      </w:r>
    </w:p>
  </w:endnote>
  <w:endnote w:type="continuationSeparator" w:id="0">
    <w:p w:rsidR="006D20BD" w:rsidRDefault="006D20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BD" w:rsidRDefault="006D20BD">
      <w:r>
        <w:separator/>
      </w:r>
    </w:p>
  </w:footnote>
  <w:footnote w:type="continuationSeparator" w:id="0">
    <w:p w:rsidR="006D20BD" w:rsidRDefault="006D2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A3D18">
    <w:pPr>
      <w:pStyle w:val="Encabezado"/>
    </w:pPr>
    <w:r w:rsidRPr="00AA3D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AA3D18" w:rsidRPr="00AA3D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A3D18">
    <w:pPr>
      <w:pStyle w:val="Encabezado"/>
    </w:pPr>
    <w:r w:rsidRPr="00AA3D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2319"/>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07D"/>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20BD"/>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1DBE"/>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D18"/>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01B"/>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626934951">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5836-A7B1-4C2F-A9A0-DC09621D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1704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11058</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2021-01-15T16:21:00Z</dcterms:created>
  <dcterms:modified xsi:type="dcterms:W3CDTF">2021-01-15T16:36:00Z</dcterms:modified>
</cp:coreProperties>
</file>