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1935728"/>
    <w:bookmarkStart w:id="1" w:name="_Toc32409783"/>
    <w:bookmarkStart w:id="2" w:name="_GoBack"/>
    <w:bookmarkEnd w:id="2"/>
    <w:p w:rsidR="000F44B2" w:rsidRPr="005F18CC" w:rsidRDefault="003F17FF" w:rsidP="000F44B2">
      <w:pPr>
        <w:ind w:left="284"/>
        <w:jc w:val="left"/>
        <w:rPr>
          <w:rFonts w:asciiTheme="minorHAnsi" w:hAnsiTheme="minorHAnsi" w:cstheme="minorHAnsi"/>
        </w:rPr>
      </w:pPr>
      <w:r>
        <w:rPr>
          <w:rFonts w:asciiTheme="minorHAnsi" w:hAnsiTheme="minorHAnsi" w:cstheme="minorHAnsi"/>
          <w:noProof/>
          <w:lang w:eastAsia="es-MX"/>
        </w:rPr>
        <mc:AlternateContent>
          <mc:Choice Requires="wps">
            <w:drawing>
              <wp:anchor distT="0" distB="0" distL="114300" distR="114300" simplePos="0" relativeHeight="251662336" behindDoc="0" locked="0" layoutInCell="1" allowOverlap="1">
                <wp:simplePos x="0" y="0"/>
                <wp:positionH relativeFrom="margin">
                  <wp:posOffset>2200275</wp:posOffset>
                </wp:positionH>
                <wp:positionV relativeFrom="paragraph">
                  <wp:posOffset>8418195</wp:posOffset>
                </wp:positionV>
                <wp:extent cx="4053205" cy="775970"/>
                <wp:effectExtent l="0" t="0" r="4445" b="508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07" w:rsidRPr="00E356AF" w:rsidRDefault="00CF6107" w:rsidP="000F44B2">
                            <w:pPr>
                              <w:jc w:val="center"/>
                              <w:rPr>
                                <w:color w:val="3D2E32"/>
                                <w:sz w:val="30"/>
                                <w:szCs w:val="30"/>
                              </w:rPr>
                            </w:pPr>
                            <w:r w:rsidRPr="00E356AF">
                              <w:rPr>
                                <w:b/>
                                <w:bCs/>
                                <w:color w:val="3D2E32"/>
                                <w:sz w:val="30"/>
                                <w:szCs w:val="30"/>
                              </w:rPr>
                              <w:t xml:space="preserve">Culiacán, Sinaloa, </w:t>
                            </w:r>
                            <w:r>
                              <w:rPr>
                                <w:b/>
                                <w:bCs/>
                                <w:color w:val="3D2E32"/>
                                <w:sz w:val="30"/>
                                <w:szCs w:val="30"/>
                              </w:rPr>
                              <w:t>noviembre de 2020</w:t>
                            </w:r>
                          </w:p>
                          <w:p w:rsidR="00CF6107" w:rsidRPr="00E356AF" w:rsidRDefault="00CF6107" w:rsidP="000F44B2">
                            <w:pPr>
                              <w:jc w:val="center"/>
                              <w:rPr>
                                <w:color w:val="3D2E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3.25pt;margin-top:662.85pt;width:319.15pt;height:6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" stroked="f">
                <v:textbox style="mso-fit-shape-to-text:t">
                  <w:txbxContent>
                    <w:p w:rsidR="00CF6107" w:rsidRPr="00E356AF" w:rsidRDefault="00CF6107" w:rsidP="000F44B2">
                      <w:pPr>
                        <w:jc w:val="center"/>
                        <w:rPr>
                          <w:color w:val="3D2E32"/>
                          <w:sz w:val="30"/>
                          <w:szCs w:val="30"/>
                        </w:rPr>
                      </w:pPr>
                      <w:r w:rsidRPr="00E356AF">
                        <w:rPr>
                          <w:b/>
                          <w:bCs/>
                          <w:color w:val="3D2E32"/>
                          <w:sz w:val="30"/>
                          <w:szCs w:val="30"/>
                        </w:rPr>
                        <w:t xml:space="preserve">Culiacán, Sinaloa, </w:t>
                      </w:r>
                      <w:r>
                        <w:rPr>
                          <w:b/>
                          <w:bCs/>
                          <w:color w:val="3D2E32"/>
                          <w:sz w:val="30"/>
                          <w:szCs w:val="30"/>
                        </w:rPr>
                        <w:t>noviembre de 2020</w:t>
                      </w:r>
                    </w:p>
                    <w:p w:rsidR="00CF6107" w:rsidRPr="00E356AF" w:rsidRDefault="00CF6107" w:rsidP="000F44B2">
                      <w:pPr>
                        <w:jc w:val="center"/>
                        <w:rPr>
                          <w:color w:val="3D2E32"/>
                        </w:rPr>
                      </w:pPr>
                    </w:p>
                  </w:txbxContent>
                </v:textbox>
                <w10:wrap anchorx="margin"/>
              </v:shape>
            </w:pict>
          </mc:Fallback>
        </mc:AlternateContent>
      </w:r>
      <w:r>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simplePos x="0" y="0"/>
                <wp:positionH relativeFrom="margin">
                  <wp:posOffset>1715770</wp:posOffset>
                </wp:positionH>
                <wp:positionV relativeFrom="margin">
                  <wp:posOffset>4070350</wp:posOffset>
                </wp:positionV>
                <wp:extent cx="5022215" cy="2982595"/>
                <wp:effectExtent l="0" t="0" r="6985"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982595"/>
                        </a:xfrm>
                        <a:prstGeom prst="rect">
                          <a:avLst/>
                        </a:prstGeom>
                        <a:solidFill>
                          <a:srgbClr val="FFFFFF"/>
                        </a:solidFill>
                        <a:ln w="9525">
                          <a:noFill/>
                          <a:miter lim="800000"/>
                          <a:headEnd/>
                          <a:tailEnd/>
                        </a:ln>
                      </wps:spPr>
                      <wps:txbx>
                        <w:txbxContent>
                          <w:p w:rsidR="00CF6107" w:rsidRPr="00E356AF" w:rsidRDefault="00CF6107" w:rsidP="00664519">
                            <w:pPr>
                              <w:jc w:val="center"/>
                              <w:rPr>
                                <w:color w:val="972137"/>
                              </w:rPr>
                            </w:pPr>
                          </w:p>
                          <w:p w:rsidR="00CF6107" w:rsidRPr="00E356AF" w:rsidRDefault="00CF6107" w:rsidP="00664519">
                            <w:pPr>
                              <w:jc w:val="center"/>
                              <w:rPr>
                                <w:color w:val="972137"/>
                              </w:rPr>
                            </w:pPr>
                            <w:r w:rsidRPr="00E356AF">
                              <w:rPr>
                                <w:b/>
                                <w:bCs/>
                                <w:color w:val="972137"/>
                                <w:sz w:val="40"/>
                                <w:szCs w:val="40"/>
                              </w:rPr>
                              <w:t>AVANCE SOBRE LA SITUACIÓN ECONÓMICA,</w:t>
                            </w:r>
                          </w:p>
                          <w:p w:rsidR="00CF6107" w:rsidRPr="00E356AF" w:rsidRDefault="00CF6107" w:rsidP="00664519">
                            <w:pPr>
                              <w:jc w:val="center"/>
                              <w:rPr>
                                <w:b/>
                                <w:bCs/>
                                <w:color w:val="972137"/>
                                <w:sz w:val="40"/>
                                <w:szCs w:val="40"/>
                              </w:rPr>
                            </w:pPr>
                            <w:r w:rsidRPr="00E356AF">
                              <w:rPr>
                                <w:b/>
                                <w:bCs/>
                                <w:color w:val="972137"/>
                                <w:sz w:val="40"/>
                                <w:szCs w:val="40"/>
                              </w:rPr>
                              <w:t>LAS FINANZAS Y LA DEUDA PÚBLICA</w:t>
                            </w:r>
                          </w:p>
                          <w:p w:rsidR="00CF6107" w:rsidRPr="00E356AF" w:rsidRDefault="00CF6107" w:rsidP="00664519">
                            <w:pPr>
                              <w:jc w:val="center"/>
                              <w:rPr>
                                <w:b/>
                                <w:bCs/>
                                <w:color w:val="972137"/>
                                <w:sz w:val="40"/>
                                <w:szCs w:val="40"/>
                              </w:rPr>
                            </w:pPr>
                          </w:p>
                          <w:p w:rsidR="00CF6107" w:rsidRPr="00E356AF" w:rsidRDefault="00CF6107" w:rsidP="00664519">
                            <w:pPr>
                              <w:jc w:val="center"/>
                              <w:rPr>
                                <w:b/>
                                <w:bCs/>
                                <w:color w:val="972137"/>
                                <w:sz w:val="40"/>
                                <w:szCs w:val="40"/>
                              </w:rPr>
                            </w:pPr>
                            <w:r w:rsidRPr="00E356AF">
                              <w:rPr>
                                <w:b/>
                                <w:bCs/>
                                <w:color w:val="972137"/>
                                <w:sz w:val="40"/>
                                <w:szCs w:val="40"/>
                              </w:rPr>
                              <w:t xml:space="preserve">AL </w:t>
                            </w:r>
                            <w:r>
                              <w:rPr>
                                <w:b/>
                                <w:bCs/>
                                <w:color w:val="972137"/>
                                <w:sz w:val="40"/>
                                <w:szCs w:val="40"/>
                              </w:rPr>
                              <w:t>TERCER TRIMESTRE DE 2020</w:t>
                            </w:r>
                          </w:p>
                          <w:p w:rsidR="00CF6107" w:rsidRPr="00E356AF" w:rsidRDefault="00CF6107" w:rsidP="00664519">
                            <w:pPr>
                              <w:jc w:val="center"/>
                              <w:rPr>
                                <w:color w:val="972137"/>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1pt;margin-top:320.5pt;width:395.45pt;height:23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" stroked="f">
                <v:textbox>
                  <w:txbxContent>
                    <w:p w:rsidR="00CF6107" w:rsidRPr="00E356AF" w:rsidRDefault="00CF6107" w:rsidP="00664519">
                      <w:pPr>
                        <w:jc w:val="center"/>
                        <w:rPr>
                          <w:color w:val="972137"/>
                        </w:rPr>
                      </w:pPr>
                    </w:p>
                    <w:p w:rsidR="00CF6107" w:rsidRPr="00E356AF" w:rsidRDefault="00CF6107" w:rsidP="00664519">
                      <w:pPr>
                        <w:jc w:val="center"/>
                        <w:rPr>
                          <w:color w:val="972137"/>
                        </w:rPr>
                      </w:pPr>
                      <w:r w:rsidRPr="00E356AF">
                        <w:rPr>
                          <w:b/>
                          <w:bCs/>
                          <w:color w:val="972137"/>
                          <w:sz w:val="40"/>
                          <w:szCs w:val="40"/>
                        </w:rPr>
                        <w:t>AVANCE SOBRE LA SITUACIÓN ECONÓMICA,</w:t>
                      </w:r>
                    </w:p>
                    <w:p w:rsidR="00CF6107" w:rsidRPr="00E356AF" w:rsidRDefault="00CF6107" w:rsidP="00664519">
                      <w:pPr>
                        <w:jc w:val="center"/>
                        <w:rPr>
                          <w:b/>
                          <w:bCs/>
                          <w:color w:val="972137"/>
                          <w:sz w:val="40"/>
                          <w:szCs w:val="40"/>
                        </w:rPr>
                      </w:pPr>
                      <w:r w:rsidRPr="00E356AF">
                        <w:rPr>
                          <w:b/>
                          <w:bCs/>
                          <w:color w:val="972137"/>
                          <w:sz w:val="40"/>
                          <w:szCs w:val="40"/>
                        </w:rPr>
                        <w:t>LAS FINANZAS Y LA DEUDA PÚBLICA</w:t>
                      </w:r>
                    </w:p>
                    <w:p w:rsidR="00CF6107" w:rsidRPr="00E356AF" w:rsidRDefault="00CF6107" w:rsidP="00664519">
                      <w:pPr>
                        <w:jc w:val="center"/>
                        <w:rPr>
                          <w:b/>
                          <w:bCs/>
                          <w:color w:val="972137"/>
                          <w:sz w:val="40"/>
                          <w:szCs w:val="40"/>
                        </w:rPr>
                      </w:pPr>
                    </w:p>
                    <w:p w:rsidR="00CF6107" w:rsidRPr="00E356AF" w:rsidRDefault="00CF6107" w:rsidP="00664519">
                      <w:pPr>
                        <w:jc w:val="center"/>
                        <w:rPr>
                          <w:b/>
                          <w:bCs/>
                          <w:color w:val="972137"/>
                          <w:sz w:val="40"/>
                          <w:szCs w:val="40"/>
                        </w:rPr>
                      </w:pPr>
                      <w:r w:rsidRPr="00E356AF">
                        <w:rPr>
                          <w:b/>
                          <w:bCs/>
                          <w:color w:val="972137"/>
                          <w:sz w:val="40"/>
                          <w:szCs w:val="40"/>
                        </w:rPr>
                        <w:t xml:space="preserve">AL </w:t>
                      </w:r>
                      <w:r>
                        <w:rPr>
                          <w:b/>
                          <w:bCs/>
                          <w:color w:val="972137"/>
                          <w:sz w:val="40"/>
                          <w:szCs w:val="40"/>
                        </w:rPr>
                        <w:t>TERCER TRIMESTRE DE 2020</w:t>
                      </w:r>
                    </w:p>
                    <w:p w:rsidR="00CF6107" w:rsidRPr="00E356AF" w:rsidRDefault="00CF6107" w:rsidP="00664519">
                      <w:pPr>
                        <w:jc w:val="center"/>
                        <w:rPr>
                          <w:color w:val="972137"/>
                        </w:rPr>
                      </w:pPr>
                    </w:p>
                  </w:txbxContent>
                </v:textbox>
                <w10:wrap anchorx="margin" anchory="margin"/>
              </v:shape>
            </w:pict>
          </mc:Fallback>
        </mc:AlternateContent>
      </w:r>
      <w:r w:rsidR="000F44B2" w:rsidRPr="005F18CC">
        <w:rPr>
          <w:rFonts w:asciiTheme="minorHAnsi" w:hAnsiTheme="minorHAnsi" w:cstheme="minorHAnsi"/>
          <w:noProof/>
          <w:lang w:eastAsia="es-MX"/>
        </w:rPr>
        <w:drawing>
          <wp:anchor distT="0" distB="0" distL="114300" distR="114300" simplePos="0" relativeHeight="251659264" behindDoc="0" locked="0" layoutInCell="1" allowOverlap="1">
            <wp:simplePos x="0" y="0"/>
            <wp:positionH relativeFrom="column">
              <wp:posOffset>2432050</wp:posOffset>
            </wp:positionH>
            <wp:positionV relativeFrom="paragraph">
              <wp:posOffset>692150</wp:posOffset>
            </wp:positionV>
            <wp:extent cx="3589020" cy="2906395"/>
            <wp:effectExtent l="0" t="0" r="0" b="8255"/>
            <wp:wrapSquare wrapText="bothSides"/>
            <wp:docPr id="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020" cy="2906395"/>
                    </a:xfrm>
                    <a:prstGeom prst="rect">
                      <a:avLst/>
                    </a:prstGeom>
                    <a:noFill/>
                  </pic:spPr>
                </pic:pic>
              </a:graphicData>
            </a:graphic>
          </wp:anchor>
        </w:drawing>
      </w:r>
      <w:r w:rsidR="000F44B2" w:rsidRPr="005F18CC">
        <w:rPr>
          <w:rFonts w:asciiTheme="minorHAnsi" w:hAnsiTheme="minorHAnsi" w:cstheme="minorHAnsi"/>
          <w:noProof/>
          <w:lang w:eastAsia="es-MX"/>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228090" cy="960755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0292" t="16000" r="63907" b="12186"/>
                    <a:stretch>
                      <a:fillRect/>
                    </a:stretch>
                  </pic:blipFill>
                  <pic:spPr bwMode="auto">
                    <a:xfrm>
                      <a:off x="0" y="0"/>
                      <a:ext cx="1228090" cy="9607550"/>
                    </a:xfrm>
                    <a:prstGeom prst="rect">
                      <a:avLst/>
                    </a:prstGeom>
                    <a:noFill/>
                  </pic:spPr>
                </pic:pic>
              </a:graphicData>
            </a:graphic>
          </wp:anchor>
        </w:drawing>
      </w:r>
      <w:r w:rsidR="000F44B2" w:rsidRPr="005F18CC">
        <w:rPr>
          <w:rFonts w:asciiTheme="minorHAnsi" w:hAnsiTheme="minorHAnsi" w:cstheme="minorHAnsi"/>
        </w:rPr>
        <w:br w:type="textWrapping" w:clear="all"/>
      </w:r>
    </w:p>
    <w:p w:rsidR="000F44B2" w:rsidRPr="005F18CC" w:rsidRDefault="000F44B2" w:rsidP="000F44B2">
      <w:pPr>
        <w:jc w:val="center"/>
        <w:rPr>
          <w:rFonts w:asciiTheme="minorHAnsi" w:hAnsiTheme="minorHAnsi" w:cstheme="minorHAnsi"/>
          <w:b/>
          <w:bCs/>
          <w:color w:val="000000"/>
          <w:sz w:val="36"/>
          <w:szCs w:val="36"/>
        </w:rPr>
      </w:pPr>
    </w:p>
    <w:p w:rsidR="000F44B2" w:rsidRPr="005F18CC" w:rsidRDefault="000F44B2" w:rsidP="000F44B2">
      <w:pPr>
        <w:jc w:val="center"/>
        <w:rPr>
          <w:rFonts w:asciiTheme="minorHAnsi" w:hAnsiTheme="minorHAnsi" w:cstheme="minorHAnsi"/>
          <w:b/>
          <w:bCs/>
          <w:color w:val="000000"/>
          <w:sz w:val="36"/>
          <w:szCs w:val="36"/>
        </w:rPr>
        <w:sectPr w:rsidR="000F44B2" w:rsidRPr="005F18CC" w:rsidSect="000F44B2">
          <w:headerReference w:type="default" r:id="rId10"/>
          <w:footerReference w:type="default" r:id="rId11"/>
          <w:type w:val="continuous"/>
          <w:pgSz w:w="12240" w:h="15840"/>
          <w:pgMar w:top="284" w:right="1701" w:bottom="426" w:left="426" w:header="708" w:footer="708" w:gutter="0"/>
          <w:cols w:space="708"/>
          <w:titlePg/>
          <w:docGrid w:linePitch="360"/>
        </w:sectPr>
      </w:pPr>
    </w:p>
    <w:p w:rsidR="000F44B2" w:rsidRPr="005F18CC" w:rsidRDefault="000F44B2" w:rsidP="000F44B2">
      <w:pPr>
        <w:jc w:val="center"/>
        <w:rPr>
          <w:rFonts w:asciiTheme="minorHAnsi" w:hAnsiTheme="minorHAnsi" w:cstheme="minorHAnsi"/>
          <w:b/>
          <w:bCs/>
          <w:color w:val="000000"/>
          <w:sz w:val="36"/>
          <w:szCs w:val="36"/>
        </w:rPr>
      </w:pPr>
      <w:r w:rsidRPr="005F18CC">
        <w:rPr>
          <w:rFonts w:asciiTheme="minorHAnsi" w:hAnsiTheme="minorHAnsi" w:cstheme="minorHAnsi"/>
          <w:b/>
          <w:bCs/>
          <w:color w:val="000000"/>
          <w:sz w:val="36"/>
          <w:szCs w:val="36"/>
        </w:rPr>
        <w:lastRenderedPageBreak/>
        <w:t>AVANCE SOBRE LA SITUACIÓN ECONÓMICA, LAS FINANZAS Y LA DEUDA PÚBLICA</w:t>
      </w:r>
    </w:p>
    <w:p w:rsidR="000F44B2" w:rsidRPr="005F18CC" w:rsidRDefault="000F44B2" w:rsidP="000F44B2">
      <w:pPr>
        <w:jc w:val="center"/>
        <w:rPr>
          <w:rFonts w:asciiTheme="minorHAnsi" w:hAnsiTheme="minorHAnsi" w:cstheme="minorHAnsi"/>
          <w:b/>
          <w:bCs/>
          <w:color w:val="000000"/>
          <w:sz w:val="36"/>
          <w:szCs w:val="36"/>
        </w:rPr>
      </w:pPr>
      <w:r w:rsidRPr="005F18CC">
        <w:rPr>
          <w:rFonts w:asciiTheme="minorHAnsi" w:hAnsiTheme="minorHAnsi" w:cstheme="minorHAnsi"/>
          <w:b/>
          <w:bCs/>
          <w:color w:val="000000"/>
          <w:sz w:val="36"/>
          <w:szCs w:val="36"/>
        </w:rPr>
        <w:t xml:space="preserve">AL </w:t>
      </w:r>
      <w:r w:rsidR="006E2BF1">
        <w:rPr>
          <w:rFonts w:asciiTheme="minorHAnsi" w:hAnsiTheme="minorHAnsi" w:cstheme="minorHAnsi"/>
          <w:b/>
          <w:bCs/>
          <w:color w:val="000000"/>
          <w:sz w:val="36"/>
          <w:szCs w:val="36"/>
        </w:rPr>
        <w:t>TERCER</w:t>
      </w:r>
      <w:r w:rsidR="00664519">
        <w:rPr>
          <w:rFonts w:asciiTheme="minorHAnsi" w:hAnsiTheme="minorHAnsi" w:cstheme="minorHAnsi"/>
          <w:b/>
          <w:bCs/>
          <w:color w:val="000000"/>
          <w:sz w:val="36"/>
          <w:szCs w:val="36"/>
        </w:rPr>
        <w:t xml:space="preserve"> TRIMESTRE DE 2020</w:t>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B2682D" w:rsidP="00B2682D">
      <w:pPr>
        <w:tabs>
          <w:tab w:val="left" w:pos="1395"/>
        </w:tabs>
        <w:autoSpaceDE w:val="0"/>
        <w:autoSpaceDN w:val="0"/>
        <w:adjustRightInd w:val="0"/>
        <w:spacing w:after="0" w:line="240" w:lineRule="auto"/>
        <w:rPr>
          <w:rFonts w:asciiTheme="minorHAnsi" w:hAnsiTheme="minorHAnsi" w:cstheme="minorHAnsi"/>
          <w:b/>
          <w:bCs/>
          <w:color w:val="000000"/>
          <w:sz w:val="36"/>
          <w:szCs w:val="36"/>
        </w:rPr>
      </w:pPr>
      <w:r>
        <w:rPr>
          <w:rFonts w:asciiTheme="minorHAnsi" w:hAnsiTheme="minorHAnsi" w:cstheme="minorHAnsi"/>
          <w:b/>
          <w:bCs/>
          <w:color w:val="000000"/>
          <w:sz w:val="36"/>
          <w:szCs w:val="36"/>
        </w:rPr>
        <w:tab/>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Consúltelo en INTERNET</w:t>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En la página oficial del Gobierno del Estado de Sinaloa</w:t>
      </w:r>
    </w:p>
    <w:p w:rsidR="000F44B2" w:rsidRPr="005F18CC" w:rsidRDefault="00620755" w:rsidP="000F44B2">
      <w:pPr>
        <w:autoSpaceDE w:val="0"/>
        <w:autoSpaceDN w:val="0"/>
        <w:adjustRightInd w:val="0"/>
        <w:spacing w:after="0" w:line="240" w:lineRule="auto"/>
        <w:jc w:val="center"/>
        <w:rPr>
          <w:rFonts w:asciiTheme="minorHAnsi" w:hAnsiTheme="minorHAnsi" w:cstheme="minorHAnsi"/>
          <w:b/>
          <w:bCs/>
          <w:color w:val="000000"/>
          <w:sz w:val="28"/>
          <w:szCs w:val="28"/>
        </w:rPr>
      </w:pPr>
      <w:hyperlink r:id="rId12" w:history="1">
        <w:r w:rsidR="000F44B2" w:rsidRPr="005F18CC">
          <w:rPr>
            <w:rFonts w:asciiTheme="minorHAnsi" w:hAnsiTheme="minorHAnsi" w:cstheme="minorHAnsi"/>
            <w:b/>
            <w:bCs/>
            <w:color w:val="000000"/>
            <w:sz w:val="28"/>
            <w:szCs w:val="28"/>
          </w:rPr>
          <w:t>http://saf.transparenciasinaloa.gob.mx/avance-trimestral-de-sinaloa/</w:t>
        </w:r>
      </w:hyperlink>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En acceso a la información pública en la Secretaría de</w:t>
      </w:r>
    </w:p>
    <w:p w:rsidR="000F44B2" w:rsidRPr="005F18CC" w:rsidRDefault="000F44B2" w:rsidP="000F44B2">
      <w:pPr>
        <w:jc w:val="center"/>
        <w:rPr>
          <w:rFonts w:asciiTheme="minorHAnsi" w:hAnsiTheme="minorHAnsi" w:cstheme="minorHAnsi"/>
          <w:b/>
        </w:rPr>
      </w:pPr>
      <w:r w:rsidRPr="005F18CC">
        <w:rPr>
          <w:rFonts w:asciiTheme="minorHAnsi" w:hAnsiTheme="minorHAnsi" w:cstheme="minorHAnsi"/>
          <w:b/>
          <w:bCs/>
          <w:color w:val="000000"/>
          <w:sz w:val="28"/>
          <w:szCs w:val="28"/>
        </w:rPr>
        <w:t>Administración y Finanzas</w:t>
      </w:r>
    </w:p>
    <w:sdt>
      <w:sdtPr>
        <w:rPr>
          <w:rFonts w:asciiTheme="minorHAnsi" w:eastAsia="Calibri" w:hAnsiTheme="minorHAnsi" w:cstheme="minorHAnsi"/>
          <w:b w:val="0"/>
          <w:bCs w:val="0"/>
          <w:color w:val="auto"/>
          <w:sz w:val="24"/>
          <w:szCs w:val="22"/>
          <w:lang w:val="es-MX"/>
        </w:rPr>
        <w:id w:val="866725709"/>
        <w:docPartObj>
          <w:docPartGallery w:val="Table of Contents"/>
          <w:docPartUnique/>
        </w:docPartObj>
      </w:sdtPr>
      <w:sdtEndPr/>
      <w:sdtContent>
        <w:p w:rsidR="000F44B2" w:rsidRPr="005F18CC" w:rsidRDefault="000F44B2" w:rsidP="000F44B2">
          <w:pPr>
            <w:pStyle w:val="TtuloTDC"/>
            <w:rPr>
              <w:rFonts w:asciiTheme="minorHAnsi" w:hAnsiTheme="minorHAnsi" w:cstheme="minorHAnsi"/>
              <w:color w:val="861D31"/>
            </w:rPr>
          </w:pPr>
          <w:r w:rsidRPr="005F18CC">
            <w:rPr>
              <w:rFonts w:asciiTheme="minorHAnsi" w:hAnsiTheme="minorHAnsi" w:cstheme="minorHAnsi"/>
              <w:color w:val="861D31"/>
            </w:rPr>
            <w:t>CONTENIDO</w:t>
          </w:r>
        </w:p>
        <w:p w:rsidR="006E2BF1" w:rsidRDefault="00D93525">
          <w:pPr>
            <w:pStyle w:val="TDC1"/>
            <w:rPr>
              <w:rFonts w:asciiTheme="minorHAnsi" w:eastAsiaTheme="minorEastAsia" w:hAnsiTheme="minorHAnsi" w:cstheme="minorBidi"/>
              <w:b w:val="0"/>
              <w:sz w:val="22"/>
              <w:lang w:val="es-ES" w:eastAsia="es-ES"/>
            </w:rPr>
          </w:pPr>
          <w:r w:rsidRPr="005F18CC">
            <w:rPr>
              <w:rFonts w:asciiTheme="minorHAnsi" w:hAnsiTheme="minorHAnsi" w:cstheme="minorHAnsi"/>
              <w:b w:val="0"/>
            </w:rPr>
            <w:fldChar w:fldCharType="begin"/>
          </w:r>
          <w:r w:rsidR="000F44B2" w:rsidRPr="005F18CC">
            <w:rPr>
              <w:rFonts w:asciiTheme="minorHAnsi" w:hAnsiTheme="minorHAnsi" w:cstheme="minorHAnsi"/>
              <w:b w:val="0"/>
            </w:rPr>
            <w:instrText xml:space="preserve"> TOC \o "1-3" \n \h \z \u </w:instrText>
          </w:r>
          <w:r w:rsidRPr="005F18CC">
            <w:rPr>
              <w:rFonts w:asciiTheme="minorHAnsi" w:hAnsiTheme="minorHAnsi" w:cstheme="minorHAnsi"/>
              <w:b w:val="0"/>
            </w:rPr>
            <w:fldChar w:fldCharType="separate"/>
          </w:r>
          <w:hyperlink w:anchor="_Toc55491747" w:history="1">
            <w:r w:rsidR="006E2BF1" w:rsidRPr="008F4E3B">
              <w:rPr>
                <w:rStyle w:val="Hipervnculo"/>
                <w:rFonts w:cstheme="minorHAnsi"/>
              </w:rPr>
              <w:t>PRESENTACIÓN</w:t>
            </w:r>
          </w:hyperlink>
        </w:p>
        <w:p w:rsidR="006E2BF1" w:rsidRDefault="00620755">
          <w:pPr>
            <w:pStyle w:val="TDC1"/>
            <w:rPr>
              <w:rFonts w:asciiTheme="minorHAnsi" w:eastAsiaTheme="minorEastAsia" w:hAnsiTheme="minorHAnsi" w:cstheme="minorBidi"/>
              <w:b w:val="0"/>
              <w:sz w:val="22"/>
              <w:lang w:val="es-ES" w:eastAsia="es-ES"/>
            </w:rPr>
          </w:pPr>
          <w:hyperlink w:anchor="_Toc55491748" w:history="1">
            <w:r w:rsidR="006E2BF1" w:rsidRPr="008F4E3B">
              <w:rPr>
                <w:rStyle w:val="Hipervnculo"/>
                <w:rFonts w:cstheme="minorHAnsi"/>
              </w:rPr>
              <w:t>I. AVANCE SOBRE LA SITUACIÓN ECONÓMICA</w:t>
            </w:r>
          </w:hyperlink>
        </w:p>
        <w:p w:rsidR="006E2BF1" w:rsidRDefault="00620755">
          <w:pPr>
            <w:pStyle w:val="TDC2"/>
            <w:rPr>
              <w:rFonts w:asciiTheme="minorHAnsi" w:eastAsiaTheme="minorEastAsia" w:hAnsiTheme="minorHAnsi" w:cstheme="minorBidi"/>
              <w:b w:val="0"/>
              <w:sz w:val="22"/>
              <w:lang w:val="es-ES" w:eastAsia="es-ES"/>
            </w:rPr>
          </w:pPr>
          <w:hyperlink w:anchor="_Toc55491749" w:history="1">
            <w:r w:rsidR="006E2BF1" w:rsidRPr="008F4E3B">
              <w:rPr>
                <w:rStyle w:val="Hipervnculo"/>
                <w:rFonts w:cstheme="minorHAnsi"/>
              </w:rPr>
              <w:t>1. ECONOMÍA ESTATAL</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0" w:history="1">
            <w:r w:rsidR="006E2BF1" w:rsidRPr="008F4E3B">
              <w:rPr>
                <w:rStyle w:val="Hipervnculo"/>
                <w:rFonts w:cstheme="minorHAnsi"/>
                <w:noProof/>
              </w:rPr>
              <w:t>1.1 Actividad Económica Estatal</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1" w:history="1">
            <w:r w:rsidR="006E2BF1" w:rsidRPr="008F4E3B">
              <w:rPr>
                <w:rStyle w:val="Hipervnculo"/>
                <w:rFonts w:cstheme="minorHAnsi"/>
                <w:noProof/>
              </w:rPr>
              <w:t>1.2. Indicadores Económicos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2" w:history="1">
            <w:r w:rsidR="006E2BF1" w:rsidRPr="008F4E3B">
              <w:rPr>
                <w:rStyle w:val="Hipervnculo"/>
                <w:rFonts w:cstheme="minorHAnsi"/>
                <w:noProof/>
              </w:rPr>
              <w:t>1.2.1. Inflación</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3" w:history="1">
            <w:r w:rsidR="006E2BF1" w:rsidRPr="008F4E3B">
              <w:rPr>
                <w:rStyle w:val="Hipervnculo"/>
                <w:rFonts w:cstheme="minorHAnsi"/>
                <w:noProof/>
              </w:rPr>
              <w:t>1.2.2. Empleo</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4" w:history="1">
            <w:r w:rsidR="006E2BF1" w:rsidRPr="008F4E3B">
              <w:rPr>
                <w:rStyle w:val="Hipervnculo"/>
                <w:rFonts w:cstheme="minorHAnsi"/>
                <w:noProof/>
              </w:rPr>
              <w:t>1.2.3. Industria manufacturera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5" w:history="1">
            <w:r w:rsidR="006E2BF1" w:rsidRPr="008F4E3B">
              <w:rPr>
                <w:rStyle w:val="Hipervnculo"/>
                <w:rFonts w:cstheme="minorHAnsi"/>
                <w:noProof/>
              </w:rPr>
              <w:t>1.2.4. Industria de la construcción</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6" w:history="1">
            <w:r w:rsidR="006E2BF1" w:rsidRPr="008F4E3B">
              <w:rPr>
                <w:rStyle w:val="Hipervnculo"/>
                <w:rFonts w:cstheme="minorHAnsi"/>
                <w:noProof/>
              </w:rPr>
              <w:t>1.2.5. Actividad comercial</w:t>
            </w:r>
          </w:hyperlink>
        </w:p>
        <w:p w:rsidR="006E2BF1" w:rsidRDefault="00620755">
          <w:pPr>
            <w:pStyle w:val="TDC1"/>
            <w:rPr>
              <w:rFonts w:asciiTheme="minorHAnsi" w:eastAsiaTheme="minorEastAsia" w:hAnsiTheme="minorHAnsi" w:cstheme="minorBidi"/>
              <w:b w:val="0"/>
              <w:sz w:val="22"/>
              <w:lang w:val="es-ES" w:eastAsia="es-ES"/>
            </w:rPr>
          </w:pPr>
          <w:hyperlink w:anchor="_Toc55491757" w:history="1">
            <w:r w:rsidR="006E2BF1" w:rsidRPr="008F4E3B">
              <w:rPr>
                <w:rStyle w:val="Hipervnculo"/>
                <w:rFonts w:cstheme="minorHAnsi"/>
              </w:rPr>
              <w:t>II. FINANZAS PÚBLICAS</w:t>
            </w:r>
          </w:hyperlink>
        </w:p>
        <w:p w:rsidR="006E2BF1" w:rsidRDefault="00620755">
          <w:pPr>
            <w:pStyle w:val="TDC2"/>
            <w:rPr>
              <w:rFonts w:asciiTheme="minorHAnsi" w:eastAsiaTheme="minorEastAsia" w:hAnsiTheme="minorHAnsi" w:cstheme="minorBidi"/>
              <w:b w:val="0"/>
              <w:sz w:val="22"/>
              <w:lang w:val="es-ES" w:eastAsia="es-ES"/>
            </w:rPr>
          </w:pPr>
          <w:hyperlink w:anchor="_Toc55491758" w:history="1">
            <w:r w:rsidR="006E2BF1" w:rsidRPr="008F4E3B">
              <w:rPr>
                <w:rStyle w:val="Hipervnculo"/>
                <w:rFonts w:cstheme="minorHAnsi"/>
              </w:rPr>
              <w:t>2. FINANZAS PÚBLICAS DEL GOBIERNO DEL ESTADO</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59" w:history="1">
            <w:r w:rsidR="006E2BF1" w:rsidRPr="008F4E3B">
              <w:rPr>
                <w:rStyle w:val="Hipervnculo"/>
                <w:rFonts w:cstheme="minorHAnsi"/>
                <w:noProof/>
              </w:rPr>
              <w:t>2.1. Ingresos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0" w:history="1">
            <w:r w:rsidR="006E2BF1" w:rsidRPr="008F4E3B">
              <w:rPr>
                <w:rStyle w:val="Hipervnculo"/>
                <w:rFonts w:cstheme="minorHAnsi"/>
                <w:noProof/>
              </w:rPr>
              <w:t>2.1.1. Ingresos Totales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1" w:history="1">
            <w:r w:rsidR="006E2BF1" w:rsidRPr="008F4E3B">
              <w:rPr>
                <w:rStyle w:val="Hipervnculo"/>
                <w:rFonts w:cstheme="minorHAnsi"/>
                <w:noProof/>
              </w:rPr>
              <w:t>2.1.2. Ingresos Estatales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2" w:history="1">
            <w:r w:rsidR="006E2BF1" w:rsidRPr="008F4E3B">
              <w:rPr>
                <w:rStyle w:val="Hipervnculo"/>
                <w:rFonts w:cstheme="minorHAnsi"/>
                <w:noProof/>
              </w:rPr>
              <w:t>2.1.2.1. Impuestos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3" w:history="1">
            <w:r w:rsidR="006E2BF1" w:rsidRPr="008F4E3B">
              <w:rPr>
                <w:rStyle w:val="Hipervnculo"/>
                <w:rFonts w:cstheme="minorHAnsi"/>
                <w:noProof/>
              </w:rPr>
              <w:t>2.1.2.2. Derechos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4" w:history="1">
            <w:r w:rsidR="006E2BF1" w:rsidRPr="008F4E3B">
              <w:rPr>
                <w:rStyle w:val="Hipervnculo"/>
                <w:rFonts w:cstheme="minorHAnsi"/>
                <w:noProof/>
              </w:rPr>
              <w:t>2.1.2.3. Productos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5" w:history="1">
            <w:r w:rsidR="006E2BF1" w:rsidRPr="008F4E3B">
              <w:rPr>
                <w:rStyle w:val="Hipervnculo"/>
                <w:rFonts w:cstheme="minorHAnsi"/>
                <w:noProof/>
              </w:rPr>
              <w:t>2.1.2.4. Aprovechamientos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6" w:history="1">
            <w:r w:rsidR="006E2BF1" w:rsidRPr="008F4E3B">
              <w:rPr>
                <w:rStyle w:val="Hipervnculo"/>
                <w:noProof/>
              </w:rPr>
              <w:t>2.1.2.5. Ingresos por Venta de Bienes, Prestación de Servicios y Otros Ingresos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7" w:history="1">
            <w:r w:rsidR="006E2BF1" w:rsidRPr="008F4E3B">
              <w:rPr>
                <w:rStyle w:val="Hipervnculo"/>
                <w:rFonts w:cstheme="minorHAnsi"/>
                <w:noProof/>
                <w:lang w:eastAsia="es-MX"/>
              </w:rPr>
              <w:t>2.1.3. Participaciones Federales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8" w:history="1">
            <w:r w:rsidR="006E2BF1" w:rsidRPr="008F4E3B">
              <w:rPr>
                <w:rStyle w:val="Hipervnculo"/>
                <w:rFonts w:cstheme="minorHAnsi"/>
                <w:noProof/>
                <w:lang w:eastAsia="es-MX"/>
              </w:rPr>
              <w:t>2.1.4. Recursos Federalizados (Ramo 33)</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69" w:history="1">
            <w:r w:rsidR="006E2BF1" w:rsidRPr="008F4E3B">
              <w:rPr>
                <w:rStyle w:val="Hipervnculo"/>
                <w:rFonts w:cs="Calibri"/>
                <w:noProof/>
              </w:rPr>
              <w:t>2.1.5. Convenios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0" w:history="1">
            <w:r w:rsidR="006E2BF1" w:rsidRPr="008F4E3B">
              <w:rPr>
                <w:rStyle w:val="Hipervnculo"/>
                <w:rFonts w:cstheme="minorHAnsi"/>
                <w:noProof/>
              </w:rPr>
              <w:t>2.1.6. Transferencias Internas y Asignaciones, Subsidios y Otras Ayudas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1" w:history="1">
            <w:r w:rsidR="006E2BF1" w:rsidRPr="008F4E3B">
              <w:rPr>
                <w:rStyle w:val="Hipervnculo"/>
                <w:rFonts w:cstheme="minorHAnsi"/>
                <w:noProof/>
              </w:rPr>
              <w:t>2.1.7. Transferencia de Recursos a Municipios</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2" w:history="1">
            <w:r w:rsidR="006E2BF1" w:rsidRPr="008F4E3B">
              <w:rPr>
                <w:rStyle w:val="Hipervnculo"/>
                <w:rFonts w:cstheme="minorHAnsi"/>
                <w:noProof/>
              </w:rPr>
              <w:t>2.2. Gasto Público</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3" w:history="1">
            <w:r w:rsidR="006E2BF1" w:rsidRPr="008F4E3B">
              <w:rPr>
                <w:rStyle w:val="Hipervnculo"/>
                <w:rFonts w:cstheme="minorHAnsi"/>
                <w:noProof/>
              </w:rPr>
              <w:t>2.2.1 Gasto Neto Total</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4" w:history="1">
            <w:r w:rsidR="006E2BF1" w:rsidRPr="008F4E3B">
              <w:rPr>
                <w:rStyle w:val="Hipervnculo"/>
                <w:rFonts w:cstheme="minorHAnsi"/>
                <w:noProof/>
              </w:rPr>
              <w:t>2.2.2 Clasificación Administrativa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5" w:history="1">
            <w:r w:rsidR="006E2BF1" w:rsidRPr="008F4E3B">
              <w:rPr>
                <w:rStyle w:val="Hipervnculo"/>
                <w:rFonts w:cstheme="minorHAnsi"/>
                <w:noProof/>
              </w:rPr>
              <w:t>2.2.3 Clasificación Económica del Gasto</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6" w:history="1">
            <w:r w:rsidR="006E2BF1" w:rsidRPr="008F4E3B">
              <w:rPr>
                <w:rStyle w:val="Hipervnculo"/>
                <w:rFonts w:cstheme="minorHAnsi"/>
                <w:noProof/>
              </w:rPr>
              <w:t>2.2.4 Clasificación Funcional</w:t>
            </w:r>
          </w:hyperlink>
        </w:p>
        <w:p w:rsidR="006E2BF1" w:rsidRDefault="00620755">
          <w:pPr>
            <w:pStyle w:val="TDC1"/>
            <w:rPr>
              <w:rFonts w:asciiTheme="minorHAnsi" w:eastAsiaTheme="minorEastAsia" w:hAnsiTheme="minorHAnsi" w:cstheme="minorBidi"/>
              <w:b w:val="0"/>
              <w:sz w:val="22"/>
              <w:lang w:val="es-ES" w:eastAsia="es-ES"/>
            </w:rPr>
          </w:pPr>
          <w:hyperlink w:anchor="_Toc55491777" w:history="1">
            <w:r w:rsidR="006E2BF1" w:rsidRPr="008F4E3B">
              <w:rPr>
                <w:rStyle w:val="Hipervnculo"/>
                <w:rFonts w:cstheme="minorHAnsi"/>
              </w:rPr>
              <w:t>III. DEUDA PÚBLICA</w:t>
            </w:r>
          </w:hyperlink>
        </w:p>
        <w:p w:rsidR="006E2BF1" w:rsidRDefault="00620755">
          <w:pPr>
            <w:pStyle w:val="TDC2"/>
            <w:rPr>
              <w:rFonts w:asciiTheme="minorHAnsi" w:eastAsiaTheme="minorEastAsia" w:hAnsiTheme="minorHAnsi" w:cstheme="minorBidi"/>
              <w:b w:val="0"/>
              <w:sz w:val="22"/>
              <w:lang w:val="es-ES" w:eastAsia="es-ES"/>
            </w:rPr>
          </w:pPr>
          <w:hyperlink w:anchor="_Toc55491778" w:history="1">
            <w:r w:rsidR="006E2BF1" w:rsidRPr="008F4E3B">
              <w:rPr>
                <w:rStyle w:val="Hipervnculo"/>
                <w:rFonts w:cstheme="minorHAnsi"/>
              </w:rPr>
              <w:t>3. DEUDA PÚBLICA ESTATAL</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79" w:history="1">
            <w:r w:rsidR="006E2BF1" w:rsidRPr="008F4E3B">
              <w:rPr>
                <w:rStyle w:val="Hipervnculo"/>
                <w:rFonts w:cstheme="minorHAnsi"/>
                <w:noProof/>
              </w:rPr>
              <w:t>3.1. Saldo de la Deuda Directa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0" w:history="1">
            <w:r w:rsidR="006E2BF1" w:rsidRPr="008F4E3B">
              <w:rPr>
                <w:rStyle w:val="Hipervnculo"/>
                <w:rFonts w:cstheme="minorHAnsi"/>
                <w:noProof/>
              </w:rPr>
              <w:t>3.2. Deuda Estatal Directa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1" w:history="1">
            <w:r w:rsidR="006E2BF1" w:rsidRPr="008F4E3B">
              <w:rPr>
                <w:rStyle w:val="Hipervnculo"/>
                <w:rFonts w:cstheme="minorHAnsi"/>
                <w:noProof/>
              </w:rPr>
              <w:t>3.3. Deuda Estatal Contingente</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2" w:history="1">
            <w:r w:rsidR="006E2BF1" w:rsidRPr="008F4E3B">
              <w:rPr>
                <w:rStyle w:val="Hipervnculo"/>
                <w:rFonts w:cstheme="minorHAnsi"/>
                <w:noProof/>
              </w:rPr>
              <w:t>3.4. Deuda no Avalada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3" w:history="1">
            <w:r w:rsidR="006E2BF1" w:rsidRPr="008F4E3B">
              <w:rPr>
                <w:rStyle w:val="Hipervnculo"/>
                <w:rFonts w:cstheme="minorHAnsi"/>
                <w:noProof/>
              </w:rPr>
              <w:t>3.5. Costo Financiero de la Deuda Estatal Directa</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4" w:history="1">
            <w:r w:rsidR="006E2BF1" w:rsidRPr="008F4E3B">
              <w:rPr>
                <w:rStyle w:val="Hipervnculo"/>
                <w:rFonts w:cstheme="minorHAnsi"/>
                <w:noProof/>
              </w:rPr>
              <w:t>3.6. Obligaciones Financieras de Corto Plazo</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5" w:history="1">
            <w:r w:rsidR="006E2BF1" w:rsidRPr="008F4E3B">
              <w:rPr>
                <w:rStyle w:val="Hipervnculo"/>
                <w:rFonts w:cstheme="minorHAnsi"/>
                <w:noProof/>
              </w:rPr>
              <w:t>3.7. Pago de Obligaciones de Corto Plazo de Enero a Septiembre 2020</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6" w:history="1">
            <w:r w:rsidR="006E2BF1" w:rsidRPr="008F4E3B">
              <w:rPr>
                <w:rStyle w:val="Hipervnculo"/>
                <w:rFonts w:cstheme="minorHAnsi"/>
                <w:noProof/>
              </w:rPr>
              <w:t>3.8. Calificación a la Calidad Crediticia del Estado</w:t>
            </w:r>
          </w:hyperlink>
        </w:p>
        <w:p w:rsidR="006E2BF1" w:rsidRDefault="00620755">
          <w:pPr>
            <w:pStyle w:val="TDC1"/>
            <w:rPr>
              <w:rFonts w:asciiTheme="minorHAnsi" w:eastAsiaTheme="minorEastAsia" w:hAnsiTheme="minorHAnsi" w:cstheme="minorBidi"/>
              <w:b w:val="0"/>
              <w:sz w:val="22"/>
              <w:lang w:val="es-ES" w:eastAsia="es-ES"/>
            </w:rPr>
          </w:pPr>
          <w:hyperlink w:anchor="_Toc55491787" w:history="1">
            <w:r w:rsidR="006E2BF1" w:rsidRPr="008F4E3B">
              <w:rPr>
                <w:rStyle w:val="Hipervnculo"/>
                <w:rFonts w:cstheme="minorHAnsi"/>
              </w:rPr>
              <w:t>IV. POSICIÓN FINANCIERA DEL GOBIERNO DEL ESTADO DE SINALOA</w:t>
            </w:r>
          </w:hyperlink>
        </w:p>
        <w:p w:rsidR="006E2BF1" w:rsidRDefault="00620755">
          <w:pPr>
            <w:pStyle w:val="TDC2"/>
            <w:rPr>
              <w:rFonts w:asciiTheme="minorHAnsi" w:eastAsiaTheme="minorEastAsia" w:hAnsiTheme="minorHAnsi" w:cstheme="minorBidi"/>
              <w:b w:val="0"/>
              <w:sz w:val="22"/>
              <w:lang w:val="es-ES" w:eastAsia="es-ES"/>
            </w:rPr>
          </w:pPr>
          <w:hyperlink w:anchor="_Toc55491788" w:history="1">
            <w:r w:rsidR="006E2BF1" w:rsidRPr="008F4E3B">
              <w:rPr>
                <w:rStyle w:val="Hipervnculo"/>
                <w:rFonts w:cstheme="minorHAnsi"/>
              </w:rPr>
              <w:t>4. ESTADO DE LA SITUACIÓN FINANCIERA AL 30 DE SEPTIEMBRE DEL 2020</w:t>
            </w:r>
          </w:hyperlink>
        </w:p>
        <w:p w:rsidR="006E2BF1" w:rsidRDefault="00620755">
          <w:pPr>
            <w:pStyle w:val="TDC3"/>
            <w:tabs>
              <w:tab w:val="right" w:leader="dot" w:pos="8779"/>
            </w:tabs>
            <w:rPr>
              <w:rFonts w:asciiTheme="minorHAnsi" w:eastAsiaTheme="minorEastAsia" w:hAnsiTheme="minorHAnsi" w:cstheme="minorBidi"/>
              <w:noProof/>
              <w:sz w:val="22"/>
              <w:lang w:val="es-ES" w:eastAsia="es-ES"/>
            </w:rPr>
          </w:pPr>
          <w:hyperlink w:anchor="_Toc55491789" w:history="1">
            <w:r w:rsidR="006E2BF1" w:rsidRPr="008F4E3B">
              <w:rPr>
                <w:rStyle w:val="Hipervnculo"/>
                <w:rFonts w:cstheme="minorHAnsi"/>
                <w:noProof/>
              </w:rPr>
              <w:t>4.1. NOTAS DE DESGLOSE AL ESTADO DE SITUACIÓN FINANCIERA AL 30 DE SEPTIEMBRE DE 2020</w:t>
            </w:r>
          </w:hyperlink>
        </w:p>
        <w:p w:rsidR="000F44B2" w:rsidRPr="005F18CC" w:rsidRDefault="00D93525" w:rsidP="000F44B2">
          <w:pPr>
            <w:rPr>
              <w:rFonts w:asciiTheme="minorHAnsi" w:hAnsiTheme="minorHAnsi" w:cstheme="minorHAnsi"/>
            </w:rPr>
          </w:pPr>
          <w:r w:rsidRPr="005F18CC">
            <w:rPr>
              <w:rFonts w:asciiTheme="minorHAnsi" w:hAnsiTheme="minorHAnsi" w:cstheme="minorHAnsi"/>
              <w:b/>
              <w:noProof/>
            </w:rPr>
            <w:fldChar w:fldCharType="end"/>
          </w:r>
        </w:p>
      </w:sdtContent>
    </w:sdt>
    <w:p w:rsidR="000F44B2" w:rsidRPr="005F18CC" w:rsidRDefault="000F44B2" w:rsidP="000F44B2">
      <w:pPr>
        <w:spacing w:after="0" w:line="240" w:lineRule="auto"/>
        <w:jc w:val="left"/>
        <w:rPr>
          <w:rFonts w:asciiTheme="minorHAnsi" w:eastAsia="Times New Roman" w:hAnsiTheme="minorHAnsi" w:cstheme="minorHAnsi"/>
          <w:b/>
          <w:bCs/>
          <w:color w:val="861D31"/>
          <w:sz w:val="28"/>
          <w:szCs w:val="28"/>
        </w:rPr>
      </w:pPr>
      <w:bookmarkStart w:id="3" w:name="_Toc521935677"/>
      <w:r w:rsidRPr="005F18CC">
        <w:rPr>
          <w:rFonts w:asciiTheme="minorHAnsi" w:hAnsiTheme="minorHAnsi" w:cstheme="minorHAnsi"/>
        </w:rPr>
        <w:br w:type="page"/>
      </w:r>
    </w:p>
    <w:p w:rsidR="000F44B2" w:rsidRPr="005F18CC" w:rsidRDefault="000F44B2" w:rsidP="000F44B2">
      <w:pPr>
        <w:pStyle w:val="Ttulo1"/>
        <w:rPr>
          <w:rFonts w:asciiTheme="minorHAnsi" w:hAnsiTheme="minorHAnsi" w:cstheme="minorHAnsi"/>
        </w:rPr>
      </w:pPr>
      <w:bookmarkStart w:id="4" w:name="_Toc55491747"/>
      <w:r w:rsidRPr="005F18CC">
        <w:rPr>
          <w:rFonts w:asciiTheme="minorHAnsi" w:hAnsiTheme="minorHAnsi" w:cstheme="minorHAnsi"/>
        </w:rPr>
        <w:lastRenderedPageBreak/>
        <w:t>PRESENTACIÓN</w:t>
      </w:r>
      <w:bookmarkEnd w:id="3"/>
      <w:bookmarkEnd w:id="4"/>
    </w:p>
    <w:p w:rsidR="000F44B2" w:rsidRPr="005F18CC" w:rsidRDefault="000F44B2" w:rsidP="000F44B2">
      <w:pPr>
        <w:rPr>
          <w:rFonts w:asciiTheme="minorHAnsi" w:hAnsiTheme="minorHAnsi" w:cstheme="minorHAnsi"/>
          <w:b/>
          <w:szCs w:val="24"/>
        </w:rPr>
      </w:pPr>
    </w:p>
    <w:p w:rsidR="000F44B2" w:rsidRPr="005F18CC" w:rsidRDefault="000F44B2" w:rsidP="000F44B2">
      <w:pPr>
        <w:rPr>
          <w:rFonts w:asciiTheme="minorHAnsi" w:hAnsiTheme="minorHAnsi" w:cstheme="minorHAnsi"/>
        </w:rPr>
      </w:pPr>
      <w:r w:rsidRPr="005F18CC">
        <w:rPr>
          <w:rFonts w:asciiTheme="minorHAnsi" w:hAnsiTheme="minorHAnsi" w:cstheme="minorHAnsi"/>
        </w:rPr>
        <w:t xml:space="preserve">En cumplimiento a lo dispuesto por la Ley de Presupuesto y Responsabilidad Hacendaria del Estado de Sinaloa y a </w:t>
      </w:r>
      <w:r>
        <w:rPr>
          <w:rFonts w:asciiTheme="minorHAnsi" w:hAnsiTheme="minorHAnsi" w:cstheme="minorHAnsi"/>
        </w:rPr>
        <w:t>lo señalado en el Decreto No. 437</w:t>
      </w:r>
      <w:r w:rsidRPr="005F18CC">
        <w:rPr>
          <w:rFonts w:asciiTheme="minorHAnsi" w:hAnsiTheme="minorHAnsi" w:cstheme="minorHAnsi"/>
        </w:rPr>
        <w:t xml:space="preserve"> del H. Congreso del Estado, que aprobó la Ley de Ingresos y Presupuesto de Egresos del Estado de Sinaloa para el E</w:t>
      </w:r>
      <w:r>
        <w:rPr>
          <w:rFonts w:asciiTheme="minorHAnsi" w:hAnsiTheme="minorHAnsi" w:cstheme="minorHAnsi"/>
        </w:rPr>
        <w:t>jercicio Fiscal 2020</w:t>
      </w:r>
      <w:r w:rsidRPr="005F18CC">
        <w:rPr>
          <w:rFonts w:asciiTheme="minorHAnsi" w:hAnsiTheme="minorHAnsi" w:cstheme="minorHAnsi"/>
        </w:rPr>
        <w:t>, publicado</w:t>
      </w:r>
      <w:r>
        <w:rPr>
          <w:rFonts w:asciiTheme="minorHAnsi" w:hAnsiTheme="minorHAnsi" w:cstheme="minorHAnsi"/>
        </w:rPr>
        <w:t xml:space="preserve"> en el periódico oficial No. 156 BIS</w:t>
      </w:r>
      <w:r w:rsidRPr="005F18CC">
        <w:rPr>
          <w:rFonts w:asciiTheme="minorHAnsi" w:hAnsiTheme="minorHAnsi" w:cstheme="minorHAnsi"/>
        </w:rPr>
        <w:t xml:space="preserve"> “El Estado de Sinaloa” el 25 de </w:t>
      </w:r>
      <w:r>
        <w:rPr>
          <w:rFonts w:asciiTheme="minorHAnsi" w:hAnsiTheme="minorHAnsi" w:cstheme="minorHAnsi"/>
        </w:rPr>
        <w:t>diciembre</w:t>
      </w:r>
      <w:r w:rsidRPr="005F18CC">
        <w:rPr>
          <w:rFonts w:asciiTheme="minorHAnsi" w:hAnsiTheme="minorHAnsi" w:cstheme="minorHAnsi"/>
        </w:rPr>
        <w:t xml:space="preserve"> de 2019, así por lo ordenado en la Ley de Deuda Pública para el Estado de Sinaloa y en lo determinado por el artículo 42 de la Ley de la Auditoría Superior del Estado de Sinaloa, se presenta al H. Congreso del Estado un informe de avance de la gestión financiera trimestral del estado de Sinaloa. Cumpliendo con el marco legal en el ámbito de las finanzas públicas estatales, a través de este documento, damos cuenta del origen y destino de los recursos públicos del estado de Sinaloa durante el periodo enero-</w:t>
      </w:r>
      <w:r w:rsidR="006E2BF1">
        <w:rPr>
          <w:rFonts w:asciiTheme="minorHAnsi" w:hAnsiTheme="minorHAnsi" w:cstheme="minorHAnsi"/>
        </w:rPr>
        <w:t>septiembre</w:t>
      </w:r>
      <w:r>
        <w:rPr>
          <w:rFonts w:asciiTheme="minorHAnsi" w:hAnsiTheme="minorHAnsi" w:cstheme="minorHAnsi"/>
        </w:rPr>
        <w:t xml:space="preserve"> de 2020</w:t>
      </w:r>
      <w:r w:rsidRPr="005F18CC">
        <w:rPr>
          <w:rFonts w:asciiTheme="minorHAnsi" w:hAnsiTheme="minorHAnsi" w:cstheme="minorHAnsi"/>
        </w:rPr>
        <w:t>.</w:t>
      </w:r>
    </w:p>
    <w:p w:rsidR="000F44B2" w:rsidRPr="005F18CC" w:rsidRDefault="000F44B2" w:rsidP="000F44B2">
      <w:pPr>
        <w:rPr>
          <w:rFonts w:asciiTheme="minorHAnsi" w:hAnsiTheme="minorHAnsi" w:cstheme="minorHAnsi"/>
          <w:szCs w:val="24"/>
        </w:rPr>
      </w:pPr>
    </w:p>
    <w:p w:rsidR="000F44B2" w:rsidRPr="005F18CC" w:rsidRDefault="000F44B2" w:rsidP="000F44B2">
      <w:pPr>
        <w:rPr>
          <w:rFonts w:asciiTheme="minorHAnsi" w:hAnsiTheme="minorHAnsi" w:cstheme="minorHAnsi"/>
          <w:b/>
          <w:szCs w:val="24"/>
        </w:rPr>
      </w:pPr>
      <w:r w:rsidRPr="005F18CC">
        <w:rPr>
          <w:rFonts w:asciiTheme="minorHAnsi" w:hAnsiTheme="minorHAnsi" w:cstheme="minorHAnsi"/>
          <w:b/>
          <w:szCs w:val="24"/>
        </w:rPr>
        <w:br w:type="page"/>
      </w:r>
    </w:p>
    <w:p w:rsidR="000F44B2" w:rsidRPr="005F18CC" w:rsidRDefault="000F44B2" w:rsidP="000F44B2">
      <w:pPr>
        <w:pStyle w:val="Ttulo1"/>
        <w:rPr>
          <w:rFonts w:asciiTheme="minorHAnsi" w:hAnsiTheme="minorHAnsi" w:cstheme="minorHAnsi"/>
        </w:rPr>
      </w:pPr>
      <w:bookmarkStart w:id="5" w:name="_Toc521935678"/>
      <w:bookmarkStart w:id="6" w:name="_Toc55491748"/>
      <w:r w:rsidRPr="005F18CC">
        <w:rPr>
          <w:rFonts w:asciiTheme="minorHAnsi" w:hAnsiTheme="minorHAnsi" w:cstheme="minorHAnsi"/>
        </w:rPr>
        <w:lastRenderedPageBreak/>
        <w:t>I. AVANCE SOBRE LA SITUACIÓN ECONÓMICA</w:t>
      </w:r>
      <w:bookmarkEnd w:id="5"/>
      <w:bookmarkEnd w:id="6"/>
    </w:p>
    <w:p w:rsidR="000F44B2" w:rsidRPr="005F18CC" w:rsidRDefault="000F44B2" w:rsidP="000F44B2">
      <w:pPr>
        <w:pStyle w:val="Ttulo2"/>
        <w:rPr>
          <w:rFonts w:asciiTheme="minorHAnsi" w:hAnsiTheme="minorHAnsi" w:cstheme="minorHAnsi"/>
        </w:rPr>
      </w:pPr>
      <w:bookmarkStart w:id="7" w:name="_Toc521935686"/>
      <w:bookmarkStart w:id="8" w:name="_Toc55491749"/>
      <w:r w:rsidRPr="005F18CC">
        <w:rPr>
          <w:rFonts w:asciiTheme="minorHAnsi" w:hAnsiTheme="minorHAnsi" w:cstheme="minorHAnsi"/>
        </w:rPr>
        <w:t>1. ECONOMÍA ESTATAL</w:t>
      </w:r>
      <w:bookmarkEnd w:id="7"/>
      <w:bookmarkEnd w:id="8"/>
    </w:p>
    <w:p w:rsidR="000F44B2" w:rsidRPr="005F18CC" w:rsidRDefault="000F44B2" w:rsidP="000F44B2">
      <w:pPr>
        <w:pStyle w:val="Ttulo3"/>
        <w:rPr>
          <w:rFonts w:asciiTheme="minorHAnsi" w:hAnsiTheme="minorHAnsi" w:cstheme="minorHAnsi"/>
        </w:rPr>
      </w:pPr>
      <w:bookmarkStart w:id="9" w:name="_Toc521935693"/>
      <w:bookmarkStart w:id="10" w:name="_Toc55491750"/>
      <w:bookmarkStart w:id="11" w:name="_Toc521935688"/>
      <w:r w:rsidRPr="005F18CC">
        <w:rPr>
          <w:rFonts w:asciiTheme="minorHAnsi" w:hAnsiTheme="minorHAnsi" w:cstheme="minorHAnsi"/>
        </w:rPr>
        <w:t xml:space="preserve">1.1 </w:t>
      </w:r>
      <w:r w:rsidRPr="00964D58">
        <w:rPr>
          <w:rFonts w:asciiTheme="minorHAnsi" w:hAnsiTheme="minorHAnsi" w:cstheme="minorHAnsi"/>
        </w:rPr>
        <w:t>Actividad Económica Estatal</w:t>
      </w:r>
      <w:bookmarkEnd w:id="9"/>
      <w:bookmarkEnd w:id="10"/>
    </w:p>
    <w:p w:rsidR="002D60A0" w:rsidRDefault="002D60A0" w:rsidP="002D60A0">
      <w:pPr>
        <w:rPr>
          <w:rFonts w:asciiTheme="minorHAnsi" w:hAnsiTheme="minorHAnsi" w:cstheme="minorHAnsi"/>
        </w:rPr>
      </w:pPr>
      <w:bookmarkStart w:id="12" w:name="_Toc521935687"/>
      <w:r>
        <w:rPr>
          <w:rFonts w:asciiTheme="minorHAnsi" w:hAnsiTheme="minorHAnsi" w:cstheme="minorHAnsi"/>
        </w:rPr>
        <w:t>El Indicador trimestral de la actividad económica estatal (ITAEE), es un indicador de coyuntura que ofrece un panorama general de la situación y evolución macroeconómica de la entidad y suministra información más oportuna y con mayor desagregación temporal que el Producto Interno Bruto Estatal (PIBE) anual.</w:t>
      </w:r>
    </w:p>
    <w:p w:rsidR="002D60A0" w:rsidRDefault="002D60A0" w:rsidP="002D60A0">
      <w:pPr>
        <w:rPr>
          <w:rFonts w:asciiTheme="minorHAnsi" w:hAnsiTheme="minorHAnsi" w:cstheme="minorHAnsi"/>
        </w:rPr>
      </w:pPr>
      <w:r>
        <w:rPr>
          <w:rFonts w:asciiTheme="minorHAnsi" w:hAnsiTheme="minorHAnsi" w:cstheme="minorHAnsi"/>
        </w:rPr>
        <w:t>El ITAEE es un adelanto del PIBE, sin embargo, se debe considerar que, para el caso del sector primario, la medición de la actividad trimestral no coincide con los cálculos anuales del PIB estatal, en virtud de que el cálculo de coyuntura de la agricultura se realiza tomando en consideración el año calendario, mientras en los cálculos anuales se incorporan los resultados del año agrícola.</w:t>
      </w:r>
    </w:p>
    <w:p w:rsidR="002D60A0" w:rsidRDefault="002D60A0" w:rsidP="002D60A0">
      <w:pPr>
        <w:rPr>
          <w:rFonts w:asciiTheme="minorHAnsi" w:hAnsiTheme="minorHAnsi" w:cstheme="minorHAnsi"/>
        </w:rPr>
      </w:pPr>
      <w:r>
        <w:rPr>
          <w:rFonts w:asciiTheme="minorHAnsi" w:hAnsiTheme="minorHAnsi" w:cstheme="minorHAnsi"/>
        </w:rPr>
        <w:t xml:space="preserve">El resultado para Sinaloa publicados por el INEGI de este indicador durante el </w:t>
      </w:r>
      <w:r w:rsidR="00092BB5">
        <w:rPr>
          <w:rFonts w:asciiTheme="minorHAnsi" w:hAnsiTheme="minorHAnsi" w:cstheme="minorHAnsi"/>
        </w:rPr>
        <w:t>segundo</w:t>
      </w:r>
      <w:r>
        <w:rPr>
          <w:rFonts w:asciiTheme="minorHAnsi" w:hAnsiTheme="minorHAnsi" w:cstheme="minorHAnsi"/>
        </w:rPr>
        <w:t xml:space="preserve"> trimestre de 2020 presen</w:t>
      </w:r>
      <w:r w:rsidR="00092BB5">
        <w:rPr>
          <w:rFonts w:asciiTheme="minorHAnsi" w:hAnsiTheme="minorHAnsi" w:cstheme="minorHAnsi"/>
        </w:rPr>
        <w:t>tó una disminución anual de -15.2</w:t>
      </w:r>
      <w:r>
        <w:rPr>
          <w:rFonts w:asciiTheme="minorHAnsi" w:hAnsiTheme="minorHAnsi" w:cstheme="minorHAnsi"/>
        </w:rPr>
        <w:t xml:space="preserve">%, </w:t>
      </w:r>
      <w:r w:rsidR="00AB3180">
        <w:rPr>
          <w:rFonts w:asciiTheme="minorHAnsi" w:hAnsiTheme="minorHAnsi" w:cstheme="minorHAnsi"/>
        </w:rPr>
        <w:t xml:space="preserve">en cifras desestacionalizadas, </w:t>
      </w:r>
      <w:r>
        <w:rPr>
          <w:rFonts w:asciiTheme="minorHAnsi" w:hAnsiTheme="minorHAnsi" w:cstheme="minorHAnsi"/>
        </w:rPr>
        <w:t>con respecto al mismo trimestre de 2019.</w:t>
      </w:r>
    </w:p>
    <w:p w:rsidR="00092BB5" w:rsidRDefault="00491034" w:rsidP="002D60A0">
      <w:pPr>
        <w:rPr>
          <w:rFonts w:asciiTheme="minorHAnsi" w:hAnsiTheme="minorHAnsi" w:cstheme="minorHAnsi"/>
        </w:rPr>
      </w:pPr>
      <w:r>
        <w:rPr>
          <w:rFonts w:asciiTheme="minorHAnsi" w:hAnsiTheme="minorHAnsi" w:cstheme="minorHAnsi"/>
          <w:noProof/>
          <w:lang w:eastAsia="es-MX"/>
        </w:rPr>
        <w:drawing>
          <wp:inline distT="0" distB="0" distL="0" distR="0" wp14:anchorId="169DD095">
            <wp:extent cx="6303420" cy="42004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3438" cy="4213815"/>
                    </a:xfrm>
                    <a:prstGeom prst="rect">
                      <a:avLst/>
                    </a:prstGeom>
                    <a:noFill/>
                  </pic:spPr>
                </pic:pic>
              </a:graphicData>
            </a:graphic>
          </wp:inline>
        </w:drawing>
      </w:r>
    </w:p>
    <w:p w:rsidR="00AB3180" w:rsidRDefault="00AB3180" w:rsidP="002D60A0">
      <w:pPr>
        <w:rPr>
          <w:rFonts w:asciiTheme="minorHAnsi" w:hAnsiTheme="minorHAnsi" w:cstheme="minorHAnsi"/>
        </w:rPr>
      </w:pPr>
      <w:r>
        <w:rPr>
          <w:rFonts w:asciiTheme="minorHAnsi" w:hAnsiTheme="minorHAnsi" w:cstheme="minorHAnsi"/>
        </w:rPr>
        <w:lastRenderedPageBreak/>
        <w:t>Las c</w:t>
      </w:r>
      <w:r w:rsidRPr="00AB3180">
        <w:rPr>
          <w:rFonts w:asciiTheme="minorHAnsi" w:hAnsiTheme="minorHAnsi" w:cstheme="minorHAnsi"/>
        </w:rPr>
        <w:t>ifras del indicador trimestral de la actividad económica estatal del INEGI</w:t>
      </w:r>
      <w:r>
        <w:rPr>
          <w:rFonts w:asciiTheme="minorHAnsi" w:hAnsiTheme="minorHAnsi" w:cstheme="minorHAnsi"/>
        </w:rPr>
        <w:t>,</w:t>
      </w:r>
      <w:r w:rsidRPr="00AB3180">
        <w:rPr>
          <w:rFonts w:asciiTheme="minorHAnsi" w:hAnsiTheme="minorHAnsi" w:cstheme="minorHAnsi"/>
        </w:rPr>
        <w:t xml:space="preserve"> al cierre del segundo trimestre del 2020</w:t>
      </w:r>
      <w:r>
        <w:rPr>
          <w:rFonts w:asciiTheme="minorHAnsi" w:hAnsiTheme="minorHAnsi" w:cstheme="minorHAnsi"/>
        </w:rPr>
        <w:t>,</w:t>
      </w:r>
      <w:r w:rsidRPr="00AB3180">
        <w:rPr>
          <w:rFonts w:asciiTheme="minorHAnsi" w:hAnsiTheme="minorHAnsi" w:cstheme="minorHAnsi"/>
        </w:rPr>
        <w:t xml:space="preserve"> indican que Sinaloa se ubicó en un -15.4 % (</w:t>
      </w:r>
      <w:r w:rsidR="006B4265">
        <w:rPr>
          <w:rFonts w:asciiTheme="minorHAnsi" w:hAnsiTheme="minorHAnsi" w:cstheme="minorHAnsi"/>
        </w:rPr>
        <w:t xml:space="preserve">en </w:t>
      </w:r>
      <w:r w:rsidRPr="00AB3180">
        <w:rPr>
          <w:rFonts w:asciiTheme="minorHAnsi" w:hAnsiTheme="minorHAnsi" w:cstheme="minorHAnsi"/>
        </w:rPr>
        <w:t>cifras originales) ubicándose en el séptimo lugar a nivel nacional, solo por debajo de Sonora -14.6 %, Colima -14.0 %, Michoacán -14.0, Chiapas -12.4 %, Campeche -9.6 % y Tabasco 1.2 %</w:t>
      </w:r>
      <w:r w:rsidR="006B4265" w:rsidRPr="00AB3180">
        <w:rPr>
          <w:rFonts w:asciiTheme="minorHAnsi" w:hAnsiTheme="minorHAnsi" w:cstheme="minorHAnsi"/>
        </w:rPr>
        <w:t>, mientras que a nivel nacional el registro fue del -18.5 %</w:t>
      </w:r>
      <w:r w:rsidR="006B4265">
        <w:rPr>
          <w:rFonts w:asciiTheme="minorHAnsi" w:hAnsiTheme="minorHAnsi" w:cstheme="minorHAnsi"/>
        </w:rPr>
        <w:t>.</w:t>
      </w:r>
    </w:p>
    <w:p w:rsidR="002D60A0" w:rsidRDefault="002D60A0" w:rsidP="002D60A0">
      <w:pPr>
        <w:rPr>
          <w:rFonts w:asciiTheme="minorHAnsi" w:hAnsiTheme="minorHAnsi" w:cstheme="minorHAnsi"/>
        </w:rPr>
      </w:pPr>
      <w:r>
        <w:rPr>
          <w:rFonts w:asciiTheme="minorHAnsi" w:hAnsiTheme="minorHAnsi" w:cstheme="minorHAnsi"/>
        </w:rPr>
        <w:t xml:space="preserve">Es importante mencionar, que la Secretaría de Hacienda y Crédito Público del gobierno federal, reportó que “En </w:t>
      </w:r>
      <w:r>
        <w:t>el primer trimestre de 2020, el PIB (nacional) registró una contracción de 1.4% en términos reales con respecto al mismo trimestre de 2019; mientras que, al eliminar el efecto estacional, el primer trimestre de 2020 registró una caída de 1.2% respecto al cuarto trimestre de 2019".</w:t>
      </w:r>
    </w:p>
    <w:p w:rsidR="000F44B2" w:rsidRPr="005F18CC" w:rsidRDefault="000F44B2" w:rsidP="000F44B2">
      <w:pPr>
        <w:spacing w:after="0" w:line="240" w:lineRule="auto"/>
        <w:jc w:val="left"/>
        <w:rPr>
          <w:rFonts w:asciiTheme="minorHAnsi" w:eastAsia="Times New Roman" w:hAnsiTheme="minorHAnsi" w:cstheme="minorHAnsi"/>
          <w:b/>
          <w:bCs/>
          <w:color w:val="262626"/>
        </w:rPr>
      </w:pPr>
    </w:p>
    <w:p w:rsidR="000F44B2" w:rsidRPr="005F18CC" w:rsidRDefault="000F44B2" w:rsidP="000F44B2">
      <w:pPr>
        <w:pStyle w:val="Ttulo3"/>
        <w:rPr>
          <w:rFonts w:asciiTheme="minorHAnsi" w:hAnsiTheme="minorHAnsi" w:cstheme="minorHAnsi"/>
        </w:rPr>
      </w:pPr>
      <w:bookmarkStart w:id="13" w:name="_Toc55491751"/>
      <w:r w:rsidRPr="005F18CC">
        <w:rPr>
          <w:rFonts w:asciiTheme="minorHAnsi" w:hAnsiTheme="minorHAnsi" w:cstheme="minorHAnsi"/>
        </w:rPr>
        <w:t>1.2. Indicadores Económicos</w:t>
      </w:r>
      <w:bookmarkEnd w:id="12"/>
      <w:bookmarkEnd w:id="13"/>
    </w:p>
    <w:p w:rsidR="000F44B2" w:rsidRPr="005F18CC" w:rsidRDefault="000F44B2" w:rsidP="000F44B2">
      <w:pPr>
        <w:pStyle w:val="Ttulo3"/>
        <w:rPr>
          <w:rFonts w:asciiTheme="minorHAnsi" w:hAnsiTheme="minorHAnsi" w:cstheme="minorHAnsi"/>
        </w:rPr>
      </w:pPr>
      <w:bookmarkStart w:id="14" w:name="_Toc521935691"/>
      <w:bookmarkStart w:id="15" w:name="_Toc55491752"/>
      <w:r w:rsidRPr="005F18CC">
        <w:rPr>
          <w:rFonts w:asciiTheme="minorHAnsi" w:hAnsiTheme="minorHAnsi" w:cstheme="minorHAnsi"/>
        </w:rPr>
        <w:t>1.2.1. Inflación</w:t>
      </w:r>
      <w:bookmarkEnd w:id="14"/>
      <w:bookmarkEnd w:id="15"/>
    </w:p>
    <w:p w:rsidR="002D60A0" w:rsidRDefault="002D60A0" w:rsidP="002D60A0">
      <w:pPr>
        <w:rPr>
          <w:rFonts w:asciiTheme="minorHAnsi" w:hAnsiTheme="minorHAnsi" w:cstheme="minorHAnsi"/>
        </w:rPr>
      </w:pPr>
      <w:bookmarkStart w:id="16" w:name="_Toc521935692"/>
      <w:r>
        <w:rPr>
          <w:rFonts w:asciiTheme="minorHAnsi" w:hAnsiTheme="minorHAnsi" w:cstheme="minorHAnsi"/>
        </w:rPr>
        <w:t xml:space="preserve">La inflación anualizada en la ciudad de Culiacán, a </w:t>
      </w:r>
      <w:r w:rsidR="00092BB5">
        <w:rPr>
          <w:rFonts w:asciiTheme="minorHAnsi" w:hAnsiTheme="minorHAnsi" w:cstheme="minorHAnsi"/>
        </w:rPr>
        <w:t>septiembre de 2020, se ubicó en 0.2</w:t>
      </w:r>
      <w:r>
        <w:rPr>
          <w:rFonts w:asciiTheme="minorHAnsi" w:hAnsiTheme="minorHAnsi" w:cstheme="minorHAnsi"/>
        </w:rPr>
        <w:t>9%, mientras en e</w:t>
      </w:r>
      <w:r w:rsidR="00092BB5">
        <w:rPr>
          <w:rFonts w:asciiTheme="minorHAnsi" w:hAnsiTheme="minorHAnsi" w:cstheme="minorHAnsi"/>
        </w:rPr>
        <w:t>l mismo mes de 2019 fue de 0.39%</w:t>
      </w:r>
      <w:r>
        <w:rPr>
          <w:rFonts w:asciiTheme="minorHAnsi" w:hAnsiTheme="minorHAnsi" w:cstheme="minorHAnsi"/>
        </w:rPr>
        <w:t xml:space="preserve">, </w:t>
      </w:r>
      <w:r w:rsidR="00092BB5">
        <w:rPr>
          <w:rFonts w:asciiTheme="minorHAnsi" w:hAnsiTheme="minorHAnsi" w:cstheme="minorHAnsi"/>
        </w:rPr>
        <w:t>presentando una diferencia de 10</w:t>
      </w:r>
      <w:r>
        <w:rPr>
          <w:rFonts w:asciiTheme="minorHAnsi" w:hAnsiTheme="minorHAnsi" w:cstheme="minorHAnsi"/>
        </w:rPr>
        <w:t xml:space="preserve"> puntos base en el periodo. </w:t>
      </w:r>
    </w:p>
    <w:p w:rsidR="00092BB5" w:rsidRDefault="00092BB5" w:rsidP="00092BB5">
      <w:pPr>
        <w:jc w:val="center"/>
        <w:rPr>
          <w:rFonts w:asciiTheme="minorHAnsi" w:hAnsiTheme="minorHAnsi" w:cstheme="minorHAnsi"/>
        </w:rPr>
      </w:pPr>
      <w:r w:rsidRPr="00092BB5">
        <w:rPr>
          <w:rFonts w:asciiTheme="minorHAnsi" w:hAnsiTheme="minorHAnsi" w:cstheme="minorHAnsi"/>
          <w:noProof/>
          <w:lang w:eastAsia="es-MX"/>
        </w:rPr>
        <w:drawing>
          <wp:inline distT="0" distB="0" distL="0" distR="0">
            <wp:extent cx="5200650" cy="2980765"/>
            <wp:effectExtent l="19050" t="0" r="19050" b="0"/>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60A0" w:rsidRDefault="002D60A0" w:rsidP="002D60A0">
      <w:pPr>
        <w:rPr>
          <w:rFonts w:asciiTheme="minorHAnsi" w:hAnsiTheme="minorHAnsi" w:cstheme="minorHAnsi"/>
          <w:sz w:val="20"/>
        </w:rPr>
      </w:pPr>
      <w:r>
        <w:rPr>
          <w:rFonts w:asciiTheme="minorHAnsi" w:hAnsiTheme="minorHAnsi" w:cstheme="minorHAnsi"/>
          <w:sz w:val="20"/>
        </w:rPr>
        <w:t xml:space="preserve">      Fuente: INEGI. Índices de precios.</w:t>
      </w:r>
    </w:p>
    <w:p w:rsidR="002D60A0" w:rsidRDefault="002D60A0" w:rsidP="002D60A0">
      <w:pPr>
        <w:rPr>
          <w:rFonts w:asciiTheme="minorHAnsi" w:hAnsiTheme="minorHAnsi" w:cstheme="minorHAnsi"/>
        </w:rPr>
      </w:pPr>
      <w:r>
        <w:rPr>
          <w:rFonts w:asciiTheme="minorHAnsi" w:hAnsiTheme="minorHAnsi" w:cstheme="minorHAnsi"/>
        </w:rPr>
        <w:t>La inflación en junio de 2020 en Culiacán, respecto a la observada en el mismo mes del año anterior</w:t>
      </w:r>
      <w:r w:rsidR="00092BB5">
        <w:rPr>
          <w:rFonts w:asciiTheme="minorHAnsi" w:hAnsiTheme="minorHAnsi" w:cstheme="minorHAnsi"/>
        </w:rPr>
        <w:t>, presentó una variación de 3.65</w:t>
      </w:r>
      <w:r>
        <w:rPr>
          <w:rFonts w:asciiTheme="minorHAnsi" w:hAnsiTheme="minorHAnsi" w:cstheme="minorHAnsi"/>
        </w:rPr>
        <w:t xml:space="preserve">%, mientras que </w:t>
      </w:r>
      <w:r w:rsidR="00092BB5">
        <w:rPr>
          <w:rFonts w:asciiTheme="minorHAnsi" w:hAnsiTheme="minorHAnsi" w:cstheme="minorHAnsi"/>
        </w:rPr>
        <w:t>la observada en 2019 fue de 2.72</w:t>
      </w:r>
      <w:r>
        <w:rPr>
          <w:rFonts w:asciiTheme="minorHAnsi" w:hAnsiTheme="minorHAnsi" w:cstheme="minorHAnsi"/>
        </w:rPr>
        <w:t xml:space="preserve">%, lo que representa una disminución en  de </w:t>
      </w:r>
      <w:r w:rsidR="00092BB5">
        <w:rPr>
          <w:rFonts w:asciiTheme="minorHAnsi" w:hAnsiTheme="minorHAnsi" w:cstheme="minorHAnsi"/>
        </w:rPr>
        <w:t xml:space="preserve">93 </w:t>
      </w:r>
      <w:r>
        <w:rPr>
          <w:rFonts w:asciiTheme="minorHAnsi" w:hAnsiTheme="minorHAnsi" w:cstheme="minorHAnsi"/>
        </w:rPr>
        <w:t>puntos base.</w:t>
      </w:r>
    </w:p>
    <w:p w:rsidR="002D60A0" w:rsidRDefault="00092BB5" w:rsidP="00092BB5">
      <w:pPr>
        <w:jc w:val="center"/>
        <w:rPr>
          <w:rFonts w:asciiTheme="minorHAnsi" w:hAnsiTheme="minorHAnsi" w:cstheme="minorHAnsi"/>
        </w:rPr>
      </w:pPr>
      <w:r w:rsidRPr="00092BB5">
        <w:rPr>
          <w:rFonts w:asciiTheme="minorHAnsi" w:hAnsiTheme="minorHAnsi" w:cstheme="minorHAnsi"/>
          <w:noProof/>
          <w:lang w:eastAsia="es-MX"/>
        </w:rPr>
        <w:lastRenderedPageBreak/>
        <w:drawing>
          <wp:inline distT="0" distB="0" distL="0" distR="0">
            <wp:extent cx="4676775" cy="2476500"/>
            <wp:effectExtent l="19050" t="0" r="9525" b="0"/>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60A0" w:rsidRDefault="002D60A0" w:rsidP="002D60A0">
      <w:pPr>
        <w:spacing w:after="0"/>
        <w:rPr>
          <w:rFonts w:asciiTheme="minorHAnsi" w:hAnsiTheme="minorHAnsi" w:cstheme="minorHAnsi"/>
          <w:sz w:val="20"/>
        </w:rPr>
      </w:pPr>
      <w:r>
        <w:rPr>
          <w:rFonts w:asciiTheme="minorHAnsi" w:hAnsiTheme="minorHAnsi" w:cstheme="minorHAnsi"/>
          <w:sz w:val="20"/>
        </w:rPr>
        <w:t xml:space="preserve">             Fuente: INEGI. Índices de precios.</w:t>
      </w:r>
    </w:p>
    <w:p w:rsidR="000F44B2" w:rsidRPr="005F18CC" w:rsidRDefault="000F44B2" w:rsidP="000F44B2">
      <w:pPr>
        <w:pStyle w:val="Ttulo3"/>
        <w:rPr>
          <w:rFonts w:asciiTheme="minorHAnsi" w:hAnsiTheme="minorHAnsi" w:cstheme="minorHAnsi"/>
        </w:rPr>
      </w:pPr>
      <w:bookmarkStart w:id="17" w:name="_Toc55491753"/>
      <w:r w:rsidRPr="005F18CC">
        <w:rPr>
          <w:rFonts w:asciiTheme="minorHAnsi" w:hAnsiTheme="minorHAnsi" w:cstheme="minorHAnsi"/>
        </w:rPr>
        <w:t xml:space="preserve">1.2.2. </w:t>
      </w:r>
      <w:bookmarkEnd w:id="16"/>
      <w:r w:rsidRPr="005F18CC">
        <w:rPr>
          <w:rFonts w:asciiTheme="minorHAnsi" w:hAnsiTheme="minorHAnsi" w:cstheme="minorHAnsi"/>
        </w:rPr>
        <w:t>Empleo</w:t>
      </w:r>
      <w:bookmarkEnd w:id="17"/>
    </w:p>
    <w:p w:rsidR="002D60A0" w:rsidRDefault="002D60A0" w:rsidP="002D60A0">
      <w:pPr>
        <w:rPr>
          <w:rFonts w:asciiTheme="minorHAnsi" w:hAnsiTheme="minorHAnsi" w:cstheme="minorHAnsi"/>
        </w:rPr>
      </w:pPr>
      <w:r>
        <w:rPr>
          <w:rFonts w:asciiTheme="minorHAnsi" w:hAnsiTheme="minorHAnsi" w:cstheme="minorHAnsi"/>
        </w:rPr>
        <w:t xml:space="preserve">Al primer trimestre de 2020, Sinaloa registró una tasa de desocupación de 2.80, lo que significó una variación de -18.36% con respecto al mismo periodo del año anterior. </w:t>
      </w:r>
    </w:p>
    <w:p w:rsidR="002D60A0" w:rsidRDefault="002D60A0" w:rsidP="002D60A0">
      <w:pPr>
        <w:spacing w:after="0" w:line="240" w:lineRule="auto"/>
        <w:jc w:val="left"/>
        <w:rPr>
          <w:rFonts w:asciiTheme="minorHAnsi" w:eastAsia="Times New Roman" w:hAnsiTheme="minorHAnsi" w:cstheme="minorHAnsi"/>
          <w:b/>
          <w:bCs/>
          <w:color w:val="262626"/>
        </w:rPr>
      </w:pPr>
    </w:p>
    <w:tbl>
      <w:tblPr>
        <w:tblW w:w="5260" w:type="dxa"/>
        <w:jc w:val="center"/>
        <w:tblCellMar>
          <w:left w:w="70" w:type="dxa"/>
          <w:right w:w="70" w:type="dxa"/>
        </w:tblCellMar>
        <w:tblLook w:val="04A0" w:firstRow="1" w:lastRow="0" w:firstColumn="1" w:lastColumn="0" w:noHBand="0" w:noVBand="1"/>
      </w:tblPr>
      <w:tblGrid>
        <w:gridCol w:w="2460"/>
        <w:gridCol w:w="2800"/>
      </w:tblGrid>
      <w:tr w:rsidR="002D60A0" w:rsidTr="002D60A0">
        <w:trPr>
          <w:trHeight w:val="720"/>
          <w:jc w:val="center"/>
        </w:trPr>
        <w:tc>
          <w:tcPr>
            <w:tcW w:w="5260" w:type="dxa"/>
            <w:gridSpan w:val="2"/>
            <w:shd w:val="clear" w:color="auto" w:fill="861D31"/>
            <w:vAlign w:val="center"/>
            <w:hideMark/>
          </w:tcPr>
          <w:p w:rsidR="002D60A0" w:rsidRDefault="002D60A0">
            <w:pPr>
              <w:spacing w:after="0" w:line="240" w:lineRule="auto"/>
              <w:jc w:val="left"/>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Tasa de desocupación total trimestral Sinaloa</w:t>
            </w:r>
            <w:r>
              <w:rPr>
                <w:rFonts w:ascii="Arial" w:eastAsia="Times New Roman" w:hAnsi="Arial" w:cs="Arial"/>
                <w:b/>
                <w:bCs/>
                <w:color w:val="FFFFFF"/>
                <w:sz w:val="20"/>
                <w:szCs w:val="20"/>
                <w:lang w:eastAsia="es-MX"/>
              </w:rPr>
              <w:br/>
              <w:t>(Porcentaje respecto a la PEA)</w:t>
            </w:r>
          </w:p>
        </w:tc>
      </w:tr>
      <w:tr w:rsidR="002D60A0" w:rsidTr="003A5470">
        <w:trPr>
          <w:trHeight w:val="283"/>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2017</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3.47</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3.74</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3.94</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3.47</w:t>
            </w:r>
          </w:p>
        </w:tc>
      </w:tr>
      <w:tr w:rsidR="002D60A0" w:rsidTr="003A5470">
        <w:trPr>
          <w:trHeight w:val="283"/>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2018</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2.40</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3.74</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3.39</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3.11</w:t>
            </w:r>
          </w:p>
        </w:tc>
      </w:tr>
      <w:tr w:rsidR="002D60A0" w:rsidTr="003A5470">
        <w:trPr>
          <w:trHeight w:val="283"/>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2019</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3.43</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2.96</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3.62</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2.80</w:t>
            </w:r>
          </w:p>
        </w:tc>
      </w:tr>
      <w:tr w:rsidR="002D60A0" w:rsidTr="003A5470">
        <w:trPr>
          <w:trHeight w:val="283"/>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2020</w:t>
            </w:r>
          </w:p>
        </w:tc>
      </w:tr>
      <w:tr w:rsidR="002D60A0" w:rsidTr="003A5470">
        <w:trPr>
          <w:trHeight w:val="283"/>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2.80</w:t>
            </w:r>
          </w:p>
        </w:tc>
      </w:tr>
      <w:tr w:rsidR="002D60A0" w:rsidTr="002D60A0">
        <w:trPr>
          <w:trHeight w:val="1530"/>
          <w:jc w:val="center"/>
        </w:trPr>
        <w:tc>
          <w:tcPr>
            <w:tcW w:w="5260" w:type="dxa"/>
            <w:gridSpan w:val="2"/>
            <w:hideMark/>
          </w:tcPr>
          <w:p w:rsidR="002D60A0" w:rsidRDefault="002D60A0">
            <w:pPr>
              <w:spacing w:after="0" w:line="240" w:lineRule="auto"/>
              <w:jc w:val="left"/>
              <w:rPr>
                <w:rFonts w:eastAsia="Times New Roman" w:cs="Calibri"/>
                <w:color w:val="000000"/>
                <w:sz w:val="20"/>
                <w:szCs w:val="20"/>
                <w:lang w:eastAsia="es-MX"/>
              </w:rPr>
            </w:pPr>
            <w:r>
              <w:rPr>
                <w:rFonts w:eastAsia="Times New Roman" w:cs="Calibri"/>
                <w:color w:val="000000"/>
                <w:sz w:val="20"/>
                <w:szCs w:val="20"/>
                <w:lang w:eastAsia="es-MX"/>
              </w:rPr>
              <w:t>Nota: Para el cálculo de los indicadores de la Encuesta Nacional de Ocupación y Empleo (ENOE), se utilizan los datos de las Proyecciones de la Población de México y de las Entidades Federativas, 2016-2050 de CONAPO.</w:t>
            </w:r>
            <w:r>
              <w:rPr>
                <w:rFonts w:eastAsia="Times New Roman" w:cs="Calibri"/>
                <w:color w:val="000000"/>
                <w:sz w:val="20"/>
                <w:szCs w:val="20"/>
                <w:lang w:eastAsia="es-MX"/>
              </w:rPr>
              <w:br/>
              <w:t>Fuente: INEGI. Encuesta Nacional de Ocupación y Empleo. Indicadores estratégicos.</w:t>
            </w:r>
          </w:p>
        </w:tc>
      </w:tr>
    </w:tbl>
    <w:p w:rsidR="000F44B2" w:rsidRPr="005F18CC" w:rsidRDefault="000F44B2" w:rsidP="000F44B2">
      <w:pPr>
        <w:spacing w:after="0" w:line="240" w:lineRule="auto"/>
        <w:jc w:val="left"/>
        <w:rPr>
          <w:rFonts w:asciiTheme="minorHAnsi" w:eastAsia="Times New Roman" w:hAnsiTheme="minorHAnsi" w:cstheme="minorHAnsi"/>
          <w:b/>
          <w:bCs/>
          <w:color w:val="262626"/>
        </w:rPr>
      </w:pPr>
    </w:p>
    <w:p w:rsidR="000F44B2" w:rsidRPr="005F18CC" w:rsidRDefault="000F44B2" w:rsidP="000F44B2">
      <w:pPr>
        <w:pStyle w:val="Ttulo3"/>
        <w:rPr>
          <w:rFonts w:asciiTheme="minorHAnsi" w:hAnsiTheme="minorHAnsi" w:cstheme="minorHAnsi"/>
        </w:rPr>
      </w:pPr>
      <w:bookmarkStart w:id="18" w:name="_Toc55491754"/>
      <w:r w:rsidRPr="005F18CC">
        <w:rPr>
          <w:rFonts w:asciiTheme="minorHAnsi" w:hAnsiTheme="minorHAnsi" w:cstheme="minorHAnsi"/>
        </w:rPr>
        <w:t>1.2.3. Industria manufacturera</w:t>
      </w:r>
      <w:bookmarkEnd w:id="11"/>
      <w:bookmarkEnd w:id="18"/>
    </w:p>
    <w:p w:rsidR="00797689" w:rsidRDefault="00797689" w:rsidP="00797689">
      <w:pPr>
        <w:rPr>
          <w:rFonts w:asciiTheme="minorHAnsi" w:hAnsiTheme="minorHAnsi" w:cstheme="minorHAnsi"/>
        </w:rPr>
      </w:pPr>
      <w:bookmarkStart w:id="19" w:name="_Toc521935689"/>
      <w:r>
        <w:rPr>
          <w:rFonts w:asciiTheme="minorHAnsi" w:hAnsiTheme="minorHAnsi" w:cstheme="minorHAnsi"/>
        </w:rPr>
        <w:t>De acuerdo con los resultados arrojados por el Sistema de Cuentas Nacionales de México del Instituto Nacional de Estadística y Geografía (INEGI), el valor promedio mensual de los bienes generados por la industria manufacturera sinaloense en el periodo enero-</w:t>
      </w:r>
      <w:r w:rsidR="0038325D">
        <w:rPr>
          <w:rFonts w:asciiTheme="minorHAnsi" w:hAnsiTheme="minorHAnsi" w:cstheme="minorHAnsi"/>
        </w:rPr>
        <w:t>agosto</w:t>
      </w:r>
      <w:r>
        <w:rPr>
          <w:rFonts w:asciiTheme="minorHAnsi" w:hAnsiTheme="minorHAnsi" w:cstheme="minorHAnsi"/>
        </w:rPr>
        <w:t xml:space="preserve"> de 2020 ascendió a poco más de 4,</w:t>
      </w:r>
      <w:r w:rsidR="0038325D">
        <w:rPr>
          <w:rFonts w:asciiTheme="minorHAnsi" w:hAnsiTheme="minorHAnsi" w:cstheme="minorHAnsi"/>
        </w:rPr>
        <w:t>469</w:t>
      </w:r>
      <w:r>
        <w:rPr>
          <w:rFonts w:asciiTheme="minorHAnsi" w:hAnsiTheme="minorHAnsi" w:cstheme="minorHAnsi"/>
        </w:rPr>
        <w:t xml:space="preserve"> millones pesos, lo que significó un incremento de </w:t>
      </w:r>
      <w:r w:rsidR="0038325D">
        <w:rPr>
          <w:rFonts w:asciiTheme="minorHAnsi" w:hAnsiTheme="minorHAnsi" w:cstheme="minorHAnsi"/>
        </w:rPr>
        <w:t>6.1</w:t>
      </w:r>
      <w:r>
        <w:rPr>
          <w:rFonts w:asciiTheme="minorHAnsi" w:hAnsiTheme="minorHAnsi" w:cstheme="minorHAnsi"/>
        </w:rPr>
        <w:t>% respecto al valor promedio mensual generado en 2019.</w:t>
      </w:r>
    </w:p>
    <w:p w:rsidR="00797689" w:rsidRDefault="0038325D" w:rsidP="00797689">
      <w:pPr>
        <w:rPr>
          <w:rFonts w:asciiTheme="minorHAnsi" w:hAnsiTheme="minorHAnsi" w:cstheme="minorHAnsi"/>
        </w:rPr>
      </w:pPr>
      <w:r w:rsidRPr="0038325D">
        <w:rPr>
          <w:noProof/>
          <w:lang w:eastAsia="es-MX"/>
        </w:rPr>
        <w:drawing>
          <wp:inline distT="0" distB="0" distL="0" distR="0">
            <wp:extent cx="5581015" cy="2912518"/>
            <wp:effectExtent l="19050" t="0" r="635"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581015" cy="2912518"/>
                    </a:xfrm>
                    <a:prstGeom prst="rect">
                      <a:avLst/>
                    </a:prstGeom>
                    <a:noFill/>
                    <a:ln w="9525">
                      <a:noFill/>
                      <a:miter lim="800000"/>
                      <a:headEnd/>
                      <a:tailEnd/>
                    </a:ln>
                  </pic:spPr>
                </pic:pic>
              </a:graphicData>
            </a:graphic>
          </wp:inline>
        </w:drawing>
      </w:r>
    </w:p>
    <w:p w:rsidR="00797689" w:rsidRDefault="00797689" w:rsidP="00797689">
      <w:pPr>
        <w:rPr>
          <w:rFonts w:asciiTheme="minorHAnsi" w:hAnsiTheme="minorHAnsi" w:cstheme="minorHAnsi"/>
        </w:rPr>
      </w:pPr>
    </w:p>
    <w:p w:rsidR="000F44B2" w:rsidRPr="005F18CC" w:rsidRDefault="000F44B2" w:rsidP="000F44B2">
      <w:pPr>
        <w:pStyle w:val="Ttulo3"/>
        <w:rPr>
          <w:rFonts w:asciiTheme="minorHAnsi" w:hAnsiTheme="minorHAnsi" w:cstheme="minorHAnsi"/>
        </w:rPr>
      </w:pPr>
      <w:bookmarkStart w:id="20" w:name="_Toc55491755"/>
      <w:r w:rsidRPr="005F18CC">
        <w:rPr>
          <w:rFonts w:asciiTheme="minorHAnsi" w:hAnsiTheme="minorHAnsi" w:cstheme="minorHAnsi"/>
        </w:rPr>
        <w:t>1.2.4. Industria de la construcción</w:t>
      </w:r>
      <w:bookmarkEnd w:id="19"/>
      <w:bookmarkEnd w:id="20"/>
    </w:p>
    <w:p w:rsidR="00797689" w:rsidRDefault="00797689" w:rsidP="00797689">
      <w:pPr>
        <w:rPr>
          <w:rFonts w:asciiTheme="minorHAnsi" w:hAnsiTheme="minorHAnsi" w:cstheme="minorHAnsi"/>
        </w:rPr>
      </w:pPr>
      <w:bookmarkStart w:id="21" w:name="_Toc521935690"/>
      <w:r>
        <w:rPr>
          <w:rFonts w:asciiTheme="minorHAnsi" w:hAnsiTheme="minorHAnsi" w:cstheme="minorHAnsi"/>
        </w:rPr>
        <w:t>Durante el periodo enero-</w:t>
      </w:r>
      <w:r w:rsidR="000B72F4">
        <w:rPr>
          <w:rFonts w:asciiTheme="minorHAnsi" w:hAnsiTheme="minorHAnsi" w:cstheme="minorHAnsi"/>
        </w:rPr>
        <w:t>agosto</w:t>
      </w:r>
      <w:r>
        <w:rPr>
          <w:rFonts w:asciiTheme="minorHAnsi" w:hAnsiTheme="minorHAnsi" w:cstheme="minorHAnsi"/>
        </w:rPr>
        <w:t xml:space="preserve"> de 2020, la construcción presenta </w:t>
      </w:r>
      <w:r w:rsidR="000B72F4">
        <w:rPr>
          <w:rFonts w:asciiTheme="minorHAnsi" w:hAnsiTheme="minorHAnsi" w:cstheme="minorHAnsi"/>
        </w:rPr>
        <w:t>un aumento</w:t>
      </w:r>
      <w:r>
        <w:rPr>
          <w:rFonts w:asciiTheme="minorHAnsi" w:hAnsiTheme="minorHAnsi" w:cstheme="minorHAnsi"/>
        </w:rPr>
        <w:t xml:space="preserve"> en el dinamismo de </w:t>
      </w:r>
      <w:r w:rsidR="000B72F4">
        <w:rPr>
          <w:rFonts w:asciiTheme="minorHAnsi" w:hAnsiTheme="minorHAnsi" w:cstheme="minorHAnsi"/>
        </w:rPr>
        <w:t>esta industria, presentando un incremento del 0.8</w:t>
      </w:r>
      <w:r>
        <w:rPr>
          <w:rFonts w:asciiTheme="minorHAnsi" w:hAnsiTheme="minorHAnsi" w:cstheme="minorHAnsi"/>
        </w:rPr>
        <w:t>% con respecto al mismo periodo del año anterior.</w:t>
      </w:r>
    </w:p>
    <w:p w:rsidR="00797689" w:rsidRDefault="00797689" w:rsidP="00797689">
      <w:pPr>
        <w:rPr>
          <w:rFonts w:asciiTheme="minorHAnsi" w:hAnsiTheme="minorHAnsi" w:cstheme="minorHAnsi"/>
        </w:rPr>
      </w:pPr>
      <w:r>
        <w:rPr>
          <w:rFonts w:asciiTheme="minorHAnsi" w:hAnsiTheme="minorHAnsi" w:cstheme="minorHAnsi"/>
        </w:rPr>
        <w:t xml:space="preserve">El valor total de la producción de la industria de la construcción en Sinaloa en el mes de </w:t>
      </w:r>
      <w:r w:rsidR="000B72F4">
        <w:rPr>
          <w:rFonts w:asciiTheme="minorHAnsi" w:hAnsiTheme="minorHAnsi" w:cstheme="minorHAnsi"/>
        </w:rPr>
        <w:t>agosto</w:t>
      </w:r>
      <w:r>
        <w:rPr>
          <w:rFonts w:asciiTheme="minorHAnsi" w:hAnsiTheme="minorHAnsi" w:cstheme="minorHAnsi"/>
        </w:rPr>
        <w:t xml:space="preserve"> de 2020 fue de </w:t>
      </w:r>
      <w:r w:rsidR="000B72F4">
        <w:rPr>
          <w:rFonts w:asciiTheme="minorHAnsi" w:hAnsiTheme="minorHAnsi" w:cstheme="minorHAnsi"/>
        </w:rPr>
        <w:t>638.2</w:t>
      </w:r>
      <w:r>
        <w:rPr>
          <w:rFonts w:asciiTheme="minorHAnsi" w:hAnsiTheme="minorHAnsi" w:cstheme="minorHAnsi"/>
        </w:rPr>
        <w:t xml:space="preserve"> millones de pesos, lo que signific</w:t>
      </w:r>
      <w:r w:rsidR="000B72F4">
        <w:rPr>
          <w:rFonts w:asciiTheme="minorHAnsi" w:hAnsiTheme="minorHAnsi" w:cstheme="minorHAnsi"/>
        </w:rPr>
        <w:t>ó un incremento absoluto de 21</w:t>
      </w:r>
      <w:r>
        <w:rPr>
          <w:rFonts w:asciiTheme="minorHAnsi" w:hAnsiTheme="minorHAnsi" w:cstheme="minorHAnsi"/>
        </w:rPr>
        <w:t>.3 millones de pesos, respecto al valor generado en el mismo mes de 2019.</w:t>
      </w:r>
    </w:p>
    <w:p w:rsidR="00797689" w:rsidRDefault="00797689" w:rsidP="00797689">
      <w:pPr>
        <w:rPr>
          <w:rFonts w:asciiTheme="minorHAnsi" w:hAnsiTheme="minorHAnsi" w:cstheme="minorHAnsi"/>
        </w:rPr>
      </w:pPr>
      <w:r>
        <w:rPr>
          <w:rFonts w:asciiTheme="minorHAnsi" w:hAnsiTheme="minorHAnsi" w:cstheme="minorHAnsi"/>
        </w:rPr>
        <w:t xml:space="preserve">En lo que respecta al valor acumulado de los productos generados por la industria de la construcción, </w:t>
      </w:r>
      <w:r w:rsidR="000B72F4">
        <w:rPr>
          <w:rFonts w:asciiTheme="minorHAnsi" w:hAnsiTheme="minorHAnsi" w:cstheme="minorHAnsi"/>
        </w:rPr>
        <w:t>en el periodo analizado fue de 5</w:t>
      </w:r>
      <w:r>
        <w:rPr>
          <w:rFonts w:asciiTheme="minorHAnsi" w:hAnsiTheme="minorHAnsi" w:cstheme="minorHAnsi"/>
        </w:rPr>
        <w:t xml:space="preserve"> mil </w:t>
      </w:r>
      <w:r w:rsidR="000B72F4">
        <w:rPr>
          <w:rFonts w:asciiTheme="minorHAnsi" w:hAnsiTheme="minorHAnsi" w:cstheme="minorHAnsi"/>
        </w:rPr>
        <w:t>332.8</w:t>
      </w:r>
      <w:r>
        <w:rPr>
          <w:rFonts w:asciiTheme="minorHAnsi" w:hAnsiTheme="minorHAnsi" w:cstheme="minorHAnsi"/>
        </w:rPr>
        <w:t xml:space="preserve"> mi</w:t>
      </w:r>
      <w:r w:rsidR="000B72F4">
        <w:rPr>
          <w:rFonts w:asciiTheme="minorHAnsi" w:hAnsiTheme="minorHAnsi" w:cstheme="minorHAnsi"/>
        </w:rPr>
        <w:t>llones de pesos, presentando un</w:t>
      </w:r>
      <w:r>
        <w:rPr>
          <w:rFonts w:asciiTheme="minorHAnsi" w:hAnsiTheme="minorHAnsi" w:cstheme="minorHAnsi"/>
        </w:rPr>
        <w:t xml:space="preserve"> </w:t>
      </w:r>
      <w:r w:rsidR="000B72F4">
        <w:rPr>
          <w:rFonts w:asciiTheme="minorHAnsi" w:hAnsiTheme="minorHAnsi" w:cstheme="minorHAnsi"/>
        </w:rPr>
        <w:t>incremento absoluto</w:t>
      </w:r>
      <w:r>
        <w:rPr>
          <w:rFonts w:asciiTheme="minorHAnsi" w:hAnsiTheme="minorHAnsi" w:cstheme="minorHAnsi"/>
        </w:rPr>
        <w:t xml:space="preserve"> de </w:t>
      </w:r>
      <w:r w:rsidR="000B72F4">
        <w:rPr>
          <w:rFonts w:asciiTheme="minorHAnsi" w:hAnsiTheme="minorHAnsi" w:cstheme="minorHAnsi"/>
        </w:rPr>
        <w:t>41.3</w:t>
      </w:r>
      <w:r>
        <w:rPr>
          <w:rFonts w:asciiTheme="minorHAnsi" w:hAnsiTheme="minorHAnsi" w:cstheme="minorHAnsi"/>
        </w:rPr>
        <w:t xml:space="preserve"> millones de pesos respecto al valor generado en el mismo periodo de 2019.</w:t>
      </w:r>
    </w:p>
    <w:p w:rsidR="000B72F4" w:rsidRPr="000B72F4" w:rsidRDefault="000B72F4" w:rsidP="00797689">
      <w:pPr>
        <w:rPr>
          <w:rFonts w:asciiTheme="minorHAnsi" w:hAnsiTheme="minorHAnsi" w:cstheme="minorHAnsi"/>
          <w:lang w:val="es-ES"/>
        </w:rPr>
      </w:pPr>
      <w:r w:rsidRPr="000B72F4">
        <w:rPr>
          <w:noProof/>
          <w:lang w:eastAsia="es-MX"/>
        </w:rPr>
        <w:lastRenderedPageBreak/>
        <w:drawing>
          <wp:inline distT="0" distB="0" distL="0" distR="0">
            <wp:extent cx="5581015" cy="3319106"/>
            <wp:effectExtent l="19050" t="0" r="635"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581015" cy="3319106"/>
                    </a:xfrm>
                    <a:prstGeom prst="rect">
                      <a:avLst/>
                    </a:prstGeom>
                    <a:noFill/>
                    <a:ln w="9525">
                      <a:noFill/>
                      <a:miter lim="800000"/>
                      <a:headEnd/>
                      <a:tailEnd/>
                    </a:ln>
                  </pic:spPr>
                </pic:pic>
              </a:graphicData>
            </a:graphic>
          </wp:inline>
        </w:drawing>
      </w:r>
    </w:p>
    <w:p w:rsidR="000F44B2" w:rsidRPr="005F18CC" w:rsidRDefault="000F44B2" w:rsidP="000F44B2">
      <w:pPr>
        <w:pStyle w:val="Ttulo3"/>
        <w:rPr>
          <w:rFonts w:asciiTheme="minorHAnsi" w:hAnsiTheme="minorHAnsi" w:cstheme="minorHAnsi"/>
        </w:rPr>
      </w:pPr>
      <w:bookmarkStart w:id="22" w:name="_Toc55491756"/>
      <w:r w:rsidRPr="005F18CC">
        <w:rPr>
          <w:rFonts w:asciiTheme="minorHAnsi" w:hAnsiTheme="minorHAnsi" w:cstheme="minorHAnsi"/>
        </w:rPr>
        <w:t>1.2.5. Actividad comercial</w:t>
      </w:r>
      <w:bookmarkEnd w:id="21"/>
      <w:bookmarkEnd w:id="22"/>
    </w:p>
    <w:p w:rsidR="00797689" w:rsidRDefault="00797689" w:rsidP="00797689">
      <w:pPr>
        <w:rPr>
          <w:rFonts w:asciiTheme="minorHAnsi" w:hAnsiTheme="minorHAnsi" w:cstheme="minorHAnsi"/>
        </w:rPr>
      </w:pPr>
      <w:r>
        <w:rPr>
          <w:rFonts w:asciiTheme="minorHAnsi" w:hAnsiTheme="minorHAnsi" w:cstheme="minorHAnsi"/>
        </w:rPr>
        <w:t xml:space="preserve">La actividad comercial, medida a través de la encuesta mensual sobre empresas comerciales que realiza el INEGI en el país, arroja que el Índice de ingreso por suministro de bienes y servicios al por mayor en Sinaloa, en el mes de </w:t>
      </w:r>
      <w:r w:rsidR="000B72F4">
        <w:rPr>
          <w:rFonts w:asciiTheme="minorHAnsi" w:hAnsiTheme="minorHAnsi" w:cstheme="minorHAnsi"/>
        </w:rPr>
        <w:t>agosto</w:t>
      </w:r>
      <w:r>
        <w:rPr>
          <w:rFonts w:asciiTheme="minorHAnsi" w:hAnsiTheme="minorHAnsi" w:cstheme="minorHAnsi"/>
        </w:rPr>
        <w:t xml:space="preserve"> de 2020,</w:t>
      </w:r>
      <w:r w:rsidR="000B72F4">
        <w:rPr>
          <w:rFonts w:asciiTheme="minorHAnsi" w:hAnsiTheme="minorHAnsi" w:cstheme="minorHAnsi"/>
        </w:rPr>
        <w:t xml:space="preserve"> presentó una disminución de -16.3</w:t>
      </w:r>
      <w:r>
        <w:rPr>
          <w:rFonts w:asciiTheme="minorHAnsi" w:hAnsiTheme="minorHAnsi" w:cstheme="minorHAnsi"/>
        </w:rPr>
        <w:t xml:space="preserve">% respecto al mismo mes de 2019, al presentar un índice de </w:t>
      </w:r>
      <w:r w:rsidR="000B72F4">
        <w:rPr>
          <w:rFonts w:asciiTheme="minorHAnsi" w:hAnsiTheme="minorHAnsi" w:cstheme="minorHAnsi"/>
        </w:rPr>
        <w:t>119.8</w:t>
      </w:r>
      <w:r>
        <w:rPr>
          <w:rFonts w:asciiTheme="minorHAnsi" w:hAnsiTheme="minorHAnsi" w:cstheme="minorHAnsi"/>
        </w:rPr>
        <w:t xml:space="preserve"> mientras que en el año anterior fue de </w:t>
      </w:r>
      <w:r w:rsidR="000B72F4">
        <w:rPr>
          <w:rFonts w:asciiTheme="minorHAnsi" w:hAnsiTheme="minorHAnsi" w:cstheme="minorHAnsi"/>
        </w:rPr>
        <w:t>143.2</w:t>
      </w:r>
      <w:r>
        <w:rPr>
          <w:rFonts w:asciiTheme="minorHAnsi" w:hAnsiTheme="minorHAnsi" w:cstheme="minorHAnsi"/>
        </w:rPr>
        <w:t>; por su parte, el Índice al por menor presentó una mayor disminución de -</w:t>
      </w:r>
      <w:r w:rsidR="000B72F4">
        <w:rPr>
          <w:rFonts w:asciiTheme="minorHAnsi" w:hAnsiTheme="minorHAnsi" w:cstheme="minorHAnsi"/>
        </w:rPr>
        <w:t>0.4</w:t>
      </w:r>
      <w:r>
        <w:rPr>
          <w:rFonts w:asciiTheme="minorHAnsi" w:hAnsiTheme="minorHAnsi" w:cstheme="minorHAnsi"/>
        </w:rPr>
        <w:t>% en el mismo periodo. No obstante, la variación promedio mensual del Índice por suministro de bienes y servicios al por mayor en el periodo enero-</w:t>
      </w:r>
      <w:r w:rsidR="000B72F4">
        <w:rPr>
          <w:rFonts w:asciiTheme="minorHAnsi" w:hAnsiTheme="minorHAnsi" w:cstheme="minorHAnsi"/>
        </w:rPr>
        <w:t>agosto</w:t>
      </w:r>
      <w:r>
        <w:rPr>
          <w:rFonts w:asciiTheme="minorHAnsi" w:hAnsiTheme="minorHAnsi" w:cstheme="minorHAnsi"/>
        </w:rPr>
        <w:t xml:space="preserve"> de 2020 fue </w:t>
      </w:r>
      <w:r w:rsidR="000B72F4">
        <w:rPr>
          <w:rFonts w:asciiTheme="minorHAnsi" w:hAnsiTheme="minorHAnsi" w:cstheme="minorHAnsi"/>
        </w:rPr>
        <w:t>negativo</w:t>
      </w:r>
      <w:r>
        <w:rPr>
          <w:rFonts w:asciiTheme="minorHAnsi" w:hAnsiTheme="minorHAnsi" w:cstheme="minorHAnsi"/>
        </w:rPr>
        <w:t xml:space="preserve"> en </w:t>
      </w:r>
      <w:r w:rsidR="000B72F4">
        <w:rPr>
          <w:rFonts w:asciiTheme="minorHAnsi" w:hAnsiTheme="minorHAnsi" w:cstheme="minorHAnsi"/>
        </w:rPr>
        <w:t>5.3</w:t>
      </w:r>
      <w:r>
        <w:rPr>
          <w:rFonts w:asciiTheme="minorHAnsi" w:hAnsiTheme="minorHAnsi" w:cstheme="minorHAnsi"/>
        </w:rPr>
        <w:t xml:space="preserve">% comparado con 2019; por su parte la variación promedio del Índice al por menor en este periodo fue negativa en </w:t>
      </w:r>
      <w:r w:rsidR="000B72F4">
        <w:rPr>
          <w:rFonts w:asciiTheme="minorHAnsi" w:hAnsiTheme="minorHAnsi" w:cstheme="minorHAnsi"/>
        </w:rPr>
        <w:t>0.1</w:t>
      </w:r>
      <w:r>
        <w:rPr>
          <w:rFonts w:asciiTheme="minorHAnsi" w:hAnsiTheme="minorHAnsi" w:cstheme="minorHAnsi"/>
        </w:rPr>
        <w:t xml:space="preserve"> por ciento.</w:t>
      </w:r>
    </w:p>
    <w:p w:rsidR="00E04EF1" w:rsidRDefault="000B72F4" w:rsidP="003A5470">
      <w:pPr>
        <w:rPr>
          <w:rFonts w:asciiTheme="minorHAnsi" w:eastAsia="Times New Roman" w:hAnsiTheme="minorHAnsi" w:cstheme="minorHAnsi"/>
          <w:b/>
          <w:bCs/>
          <w:color w:val="861D31"/>
          <w:sz w:val="28"/>
          <w:szCs w:val="28"/>
        </w:rPr>
      </w:pPr>
      <w:r w:rsidRPr="000B72F4">
        <w:rPr>
          <w:noProof/>
          <w:lang w:eastAsia="es-MX"/>
        </w:rPr>
        <w:drawing>
          <wp:inline distT="0" distB="0" distL="0" distR="0" wp14:anchorId="49A07B3D" wp14:editId="2CA4A103">
            <wp:extent cx="5581015" cy="2579002"/>
            <wp:effectExtent l="19050" t="0" r="635"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581015" cy="2579002"/>
                    </a:xfrm>
                    <a:prstGeom prst="rect">
                      <a:avLst/>
                    </a:prstGeom>
                    <a:noFill/>
                    <a:ln w="9525">
                      <a:noFill/>
                      <a:miter lim="800000"/>
                      <a:headEnd/>
                      <a:tailEnd/>
                    </a:ln>
                  </pic:spPr>
                </pic:pic>
              </a:graphicData>
            </a:graphic>
          </wp:inline>
        </w:drawing>
      </w:r>
      <w:bookmarkStart w:id="23" w:name="_Toc521935694"/>
      <w:bookmarkStart w:id="24" w:name="_Toc55491757"/>
      <w:r w:rsidR="00E04EF1">
        <w:rPr>
          <w:rFonts w:asciiTheme="minorHAnsi" w:hAnsiTheme="minorHAnsi" w:cstheme="minorHAnsi"/>
        </w:rPr>
        <w:br w:type="page"/>
      </w:r>
    </w:p>
    <w:p w:rsidR="003A5470" w:rsidRPr="003A5470" w:rsidRDefault="003A5470" w:rsidP="003A5470">
      <w:pPr>
        <w:pStyle w:val="Ttulo1"/>
        <w:spacing w:before="0" w:line="240" w:lineRule="auto"/>
        <w:rPr>
          <w:rFonts w:asciiTheme="minorHAnsi" w:hAnsiTheme="minorHAnsi" w:cstheme="minorHAnsi"/>
          <w:sz w:val="16"/>
          <w:szCs w:val="16"/>
        </w:rPr>
      </w:pPr>
    </w:p>
    <w:p w:rsidR="000F44B2" w:rsidRPr="005F18CC" w:rsidRDefault="000F44B2" w:rsidP="003A5470">
      <w:pPr>
        <w:pStyle w:val="Ttulo1"/>
        <w:spacing w:before="0"/>
        <w:rPr>
          <w:rFonts w:asciiTheme="minorHAnsi" w:hAnsiTheme="minorHAnsi" w:cstheme="minorHAnsi"/>
        </w:rPr>
      </w:pPr>
      <w:r w:rsidRPr="005F18CC">
        <w:rPr>
          <w:rFonts w:asciiTheme="minorHAnsi" w:hAnsiTheme="minorHAnsi" w:cstheme="minorHAnsi"/>
        </w:rPr>
        <w:t>II. FINANZAS PÚBLICAS</w:t>
      </w:r>
      <w:bookmarkEnd w:id="23"/>
      <w:bookmarkEnd w:id="24"/>
    </w:p>
    <w:p w:rsidR="000F44B2" w:rsidRPr="005F18CC" w:rsidRDefault="000F44B2" w:rsidP="000F44B2">
      <w:pPr>
        <w:pStyle w:val="Ttulo2"/>
        <w:rPr>
          <w:rFonts w:asciiTheme="minorHAnsi" w:hAnsiTheme="minorHAnsi" w:cstheme="minorHAnsi"/>
        </w:rPr>
      </w:pPr>
      <w:bookmarkStart w:id="25" w:name="_Toc521935699"/>
      <w:bookmarkStart w:id="26" w:name="_Toc55491758"/>
      <w:r w:rsidRPr="005F18CC">
        <w:rPr>
          <w:rFonts w:asciiTheme="minorHAnsi" w:hAnsiTheme="minorHAnsi" w:cstheme="minorHAnsi"/>
        </w:rPr>
        <w:t>2. FINANZAS PÚBLICAS DEL GOBIERNO DEL ESTADO</w:t>
      </w:r>
      <w:bookmarkEnd w:id="25"/>
      <w:bookmarkEnd w:id="26"/>
    </w:p>
    <w:p w:rsidR="00507A47" w:rsidRDefault="00507A47" w:rsidP="00507A47">
      <w:pPr>
        <w:pStyle w:val="Ttulo3"/>
        <w:spacing w:after="240"/>
        <w:rPr>
          <w:rFonts w:asciiTheme="minorHAnsi" w:hAnsiTheme="minorHAnsi" w:cstheme="minorHAnsi"/>
        </w:rPr>
      </w:pPr>
      <w:bookmarkStart w:id="27" w:name="_Toc521935700"/>
      <w:bookmarkStart w:id="28" w:name="_Toc47647115"/>
      <w:bookmarkStart w:id="29" w:name="_Toc55491759"/>
      <w:bookmarkStart w:id="30" w:name="_Toc521935710"/>
      <w:r w:rsidRPr="00A1565C">
        <w:rPr>
          <w:rFonts w:asciiTheme="minorHAnsi" w:hAnsiTheme="minorHAnsi" w:cstheme="minorHAnsi"/>
        </w:rPr>
        <w:t>2.1. Ingresos</w:t>
      </w:r>
      <w:bookmarkEnd w:id="27"/>
      <w:bookmarkEnd w:id="28"/>
      <w:bookmarkEnd w:id="29"/>
    </w:p>
    <w:p w:rsidR="00E04EF1" w:rsidRPr="00E41FB1" w:rsidRDefault="00E04EF1" w:rsidP="00E04EF1">
      <w:pPr>
        <w:rPr>
          <w:bCs/>
          <w:lang w:val="es-ES"/>
        </w:rPr>
      </w:pPr>
      <w:r w:rsidRPr="0062681F">
        <w:t xml:space="preserve">Al </w:t>
      </w:r>
      <w:r>
        <w:t>Tercer Trimestre de 2020</w:t>
      </w:r>
      <w:r w:rsidRPr="0062681F">
        <w:t xml:space="preserve">, </w:t>
      </w:r>
      <w:r w:rsidRPr="0062681F">
        <w:rPr>
          <w:bCs/>
          <w:lang w:val="es-ES"/>
        </w:rPr>
        <w:t>los Ingresos Totales</w:t>
      </w:r>
      <w:r w:rsidRPr="0062681F">
        <w:rPr>
          <w:lang w:val="es-ES"/>
        </w:rPr>
        <w:t xml:space="preserve"> recaudados ascendieron a </w:t>
      </w:r>
      <w:r>
        <w:rPr>
          <w:lang w:val="es-ES"/>
        </w:rPr>
        <w:t>41</w:t>
      </w:r>
      <w:r w:rsidRPr="0062681F">
        <w:rPr>
          <w:bCs/>
          <w:lang w:val="es-ES"/>
        </w:rPr>
        <w:t xml:space="preserve"> mil </w:t>
      </w:r>
      <w:r>
        <w:rPr>
          <w:bCs/>
          <w:lang w:val="es-ES"/>
        </w:rPr>
        <w:t>115.2</w:t>
      </w:r>
      <w:r w:rsidRPr="0062681F">
        <w:rPr>
          <w:bCs/>
          <w:lang w:val="es-ES"/>
        </w:rPr>
        <w:t xml:space="preserve"> millones de pesos</w:t>
      </w:r>
      <w:r>
        <w:rPr>
          <w:lang w:val="es-ES"/>
        </w:rPr>
        <w:t>, que comparados con los 39</w:t>
      </w:r>
      <w:r w:rsidRPr="0062681F">
        <w:rPr>
          <w:lang w:val="es-ES"/>
        </w:rPr>
        <w:t xml:space="preserve"> mil </w:t>
      </w:r>
      <w:r>
        <w:rPr>
          <w:lang w:val="es-ES"/>
        </w:rPr>
        <w:t>93.0</w:t>
      </w:r>
      <w:r w:rsidRPr="0062681F">
        <w:rPr>
          <w:lang w:val="es-ES"/>
        </w:rPr>
        <w:t xml:space="preserve"> millones de pesos registrados </w:t>
      </w:r>
      <w:r>
        <w:rPr>
          <w:lang w:val="es-ES"/>
        </w:rPr>
        <w:t xml:space="preserve">al mismo periodo de 2019, se observa un </w:t>
      </w:r>
      <w:r w:rsidRPr="0062681F">
        <w:rPr>
          <w:lang w:val="es-ES"/>
        </w:rPr>
        <w:t>crecimiento real</w:t>
      </w:r>
      <w:r w:rsidRPr="004D51A6">
        <w:rPr>
          <w:lang w:val="es-ES"/>
        </w:rPr>
        <w:t xml:space="preserve"> del</w:t>
      </w:r>
      <w:r>
        <w:rPr>
          <w:lang w:val="es-ES"/>
        </w:rPr>
        <w:t>1.1</w:t>
      </w:r>
      <w:r w:rsidRPr="0062681F">
        <w:rPr>
          <w:lang w:val="es-ES"/>
        </w:rPr>
        <w:t xml:space="preserve">%, </w:t>
      </w:r>
      <w:r>
        <w:rPr>
          <w:lang w:val="es-ES"/>
        </w:rPr>
        <w:t>lo anterior representa</w:t>
      </w:r>
      <w:r w:rsidRPr="0062681F">
        <w:rPr>
          <w:lang w:val="es-ES"/>
        </w:rPr>
        <w:t xml:space="preserve"> ingresos </w:t>
      </w:r>
      <w:r>
        <w:rPr>
          <w:lang w:val="es-ES"/>
        </w:rPr>
        <w:t>mayores</w:t>
      </w:r>
      <w:r w:rsidRPr="0062681F">
        <w:rPr>
          <w:lang w:val="es-ES"/>
        </w:rPr>
        <w:t xml:space="preserve"> por </w:t>
      </w:r>
      <w:r>
        <w:rPr>
          <w:lang w:val="es-ES"/>
        </w:rPr>
        <w:t>2 mil 22.1</w:t>
      </w:r>
      <w:r w:rsidRPr="0062681F">
        <w:rPr>
          <w:lang w:val="es-ES"/>
        </w:rPr>
        <w:t xml:space="preserve"> millones </w:t>
      </w:r>
      <w:r>
        <w:rPr>
          <w:lang w:val="es-ES"/>
        </w:rPr>
        <w:t xml:space="preserve">de </w:t>
      </w:r>
      <w:r w:rsidRPr="0062681F">
        <w:rPr>
          <w:lang w:val="es-ES"/>
        </w:rPr>
        <w:t xml:space="preserve">pesos, </w:t>
      </w:r>
      <w:r>
        <w:rPr>
          <w:lang w:val="es-ES"/>
        </w:rPr>
        <w:t xml:space="preserve">debido </w:t>
      </w:r>
      <w:r w:rsidRPr="0062681F">
        <w:rPr>
          <w:lang w:val="es-ES"/>
        </w:rPr>
        <w:t xml:space="preserve">primordialmente a un crecimiento en </w:t>
      </w:r>
      <w:r>
        <w:rPr>
          <w:lang w:val="es-ES"/>
        </w:rPr>
        <w:t>el rubro del Ramo 33.</w:t>
      </w:r>
    </w:p>
    <w:p w:rsidR="00507A47" w:rsidRDefault="00507A47" w:rsidP="00507A47">
      <w:pPr>
        <w:pStyle w:val="Ttulo3"/>
        <w:spacing w:after="240"/>
        <w:rPr>
          <w:rFonts w:asciiTheme="minorHAnsi" w:hAnsiTheme="minorHAnsi" w:cstheme="minorHAnsi"/>
        </w:rPr>
      </w:pPr>
      <w:bookmarkStart w:id="31" w:name="_Toc521935701"/>
      <w:bookmarkStart w:id="32" w:name="_Toc47647116"/>
      <w:bookmarkStart w:id="33" w:name="_Toc55491760"/>
      <w:r w:rsidRPr="00A1565C">
        <w:rPr>
          <w:rFonts w:asciiTheme="minorHAnsi" w:hAnsiTheme="minorHAnsi" w:cstheme="minorHAnsi"/>
        </w:rPr>
        <w:t>2.1.1. Ingresos Totales</w:t>
      </w:r>
      <w:bookmarkEnd w:id="31"/>
      <w:bookmarkEnd w:id="32"/>
      <w:bookmarkEnd w:id="33"/>
    </w:p>
    <w:p w:rsidR="00E04EF1" w:rsidRDefault="00E04EF1" w:rsidP="00E04EF1">
      <w:pPr>
        <w:rPr>
          <w:lang w:eastAsia="es-MX"/>
        </w:rPr>
      </w:pPr>
      <w:r w:rsidRPr="00525121">
        <w:rPr>
          <w:lang w:eastAsia="es-MX"/>
        </w:rPr>
        <w:t xml:space="preserve">Al cierre del </w:t>
      </w:r>
      <w:r w:rsidR="007F0A36">
        <w:rPr>
          <w:lang w:eastAsia="es-MX"/>
        </w:rPr>
        <w:t>Tercer</w:t>
      </w:r>
      <w:r w:rsidR="007F0A36" w:rsidRPr="00525121">
        <w:rPr>
          <w:lang w:eastAsia="es-MX"/>
        </w:rPr>
        <w:t xml:space="preserve"> Trimestre</w:t>
      </w:r>
      <w:r>
        <w:rPr>
          <w:lang w:eastAsia="es-MX"/>
        </w:rPr>
        <w:t xml:space="preserve"> 2020</w:t>
      </w:r>
      <w:r w:rsidRPr="00525121">
        <w:rPr>
          <w:lang w:eastAsia="es-MX"/>
        </w:rPr>
        <w:t xml:space="preserve">, de acuerdo </w:t>
      </w:r>
      <w:r>
        <w:rPr>
          <w:lang w:eastAsia="es-MX"/>
        </w:rPr>
        <w:t>con</w:t>
      </w:r>
      <w:r w:rsidRPr="00525121">
        <w:rPr>
          <w:lang w:eastAsia="es-MX"/>
        </w:rPr>
        <w:t xml:space="preserve"> la aplicación de la Ley de Hacienda del Estado de Sinaloa, el Gobierno del Estado obtuvo in</w:t>
      </w:r>
      <w:r>
        <w:rPr>
          <w:lang w:eastAsia="es-MX"/>
        </w:rPr>
        <w:t>gresos propios por un monto de 4 mil 362.6</w:t>
      </w:r>
      <w:r w:rsidRPr="00525121">
        <w:rPr>
          <w:lang w:eastAsia="es-MX"/>
        </w:rPr>
        <w:t xml:space="preserve"> millones de pesos y en el mi</w:t>
      </w:r>
      <w:r>
        <w:rPr>
          <w:lang w:eastAsia="es-MX"/>
        </w:rPr>
        <w:t>smo periodo de 2019 ingresaron 4 mil 882.3</w:t>
      </w:r>
      <w:r w:rsidRPr="00525121">
        <w:rPr>
          <w:lang w:eastAsia="es-MX"/>
        </w:rPr>
        <w:t xml:space="preserve">millones de pesos, lo que representa una variación </w:t>
      </w:r>
      <w:r>
        <w:rPr>
          <w:lang w:eastAsia="es-MX"/>
        </w:rPr>
        <w:t>negativa</w:t>
      </w:r>
      <w:r w:rsidRPr="00525121">
        <w:rPr>
          <w:lang w:eastAsia="es-MX"/>
        </w:rPr>
        <w:t xml:space="preserve"> absoluta de</w:t>
      </w:r>
      <w:r>
        <w:rPr>
          <w:lang w:eastAsia="es-MX"/>
        </w:rPr>
        <w:t>519.7</w:t>
      </w:r>
      <w:r w:rsidRPr="00525121">
        <w:rPr>
          <w:lang w:eastAsia="es-MX"/>
        </w:rPr>
        <w:t xml:space="preserve"> millones de pesos, misma que obs</w:t>
      </w:r>
      <w:r>
        <w:rPr>
          <w:lang w:eastAsia="es-MX"/>
        </w:rPr>
        <w:t xml:space="preserve">erva un decrecimiento real del 14.1%. </w:t>
      </w:r>
    </w:p>
    <w:p w:rsidR="00E04EF1" w:rsidRDefault="00E04EF1" w:rsidP="00E04EF1">
      <w:pPr>
        <w:rPr>
          <w:lang w:eastAsia="es-MX"/>
        </w:rPr>
      </w:pPr>
      <w:r w:rsidRPr="00A67640">
        <w:rPr>
          <w:noProof/>
          <w:lang w:eastAsia="es-MX"/>
        </w:rPr>
        <w:drawing>
          <wp:inline distT="0" distB="0" distL="0" distR="0">
            <wp:extent cx="5581015" cy="2260600"/>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015" cy="2260600"/>
                    </a:xfrm>
                    <a:prstGeom prst="rect">
                      <a:avLst/>
                    </a:prstGeom>
                    <a:noFill/>
                    <a:ln>
                      <a:noFill/>
                    </a:ln>
                  </pic:spPr>
                </pic:pic>
              </a:graphicData>
            </a:graphic>
          </wp:inline>
        </w:drawing>
      </w:r>
    </w:p>
    <w:p w:rsidR="00E04EF1" w:rsidRDefault="00E04EF1" w:rsidP="00E04EF1">
      <w:pPr>
        <w:rPr>
          <w:lang w:eastAsia="es-MX"/>
        </w:rPr>
      </w:pPr>
    </w:p>
    <w:p w:rsidR="00E04EF1" w:rsidRDefault="00E04EF1" w:rsidP="00E04EF1">
      <w:r w:rsidRPr="00525121">
        <w:t xml:space="preserve">Las Participaciones Federales recibidas por la Hacienda Pública Estatal al </w:t>
      </w:r>
      <w:r>
        <w:t>Tercer Trimestre de 2020 fueron del orden de 17</w:t>
      </w:r>
      <w:r w:rsidRPr="00525121">
        <w:t xml:space="preserve"> mil</w:t>
      </w:r>
      <w:r>
        <w:t>239.6 millones de pesos, 359.1</w:t>
      </w:r>
      <w:r w:rsidRPr="00525121">
        <w:t xml:space="preserve"> millones de pesos más comparados con las observadas en el mismo period</w:t>
      </w:r>
      <w:r>
        <w:t>o del año anterior que fueron 16 mil 880.5</w:t>
      </w:r>
      <w:r w:rsidRPr="00525121">
        <w:t xml:space="preserve"> millones de pesos, </w:t>
      </w:r>
      <w:r>
        <w:t xml:space="preserve">sin embargo, se </w:t>
      </w:r>
      <w:r w:rsidRPr="00525121">
        <w:t>o</w:t>
      </w:r>
      <w:r>
        <w:t>bserva un decrecimiento del 1.8% en términos reales.</w:t>
      </w:r>
    </w:p>
    <w:p w:rsidR="00E04EF1" w:rsidRDefault="00E04EF1" w:rsidP="00E04EF1">
      <w:r>
        <w:t>En el periodo enero-septiembre de 2020</w:t>
      </w:r>
      <w:r w:rsidRPr="00525121">
        <w:t>, las Transferencias de recursos Federalizados al Esta</w:t>
      </w:r>
      <w:r>
        <w:t>do, vía Ramo 33, ascendieron a 13 mil 51.8</w:t>
      </w:r>
      <w:r w:rsidRPr="00525121">
        <w:t xml:space="preserve"> millones de pesos, y </w:t>
      </w:r>
      <w:r>
        <w:t xml:space="preserve">al mismo periodo de </w:t>
      </w:r>
      <w:r>
        <w:lastRenderedPageBreak/>
        <w:t>2019 fue de 10 mil 879.2</w:t>
      </w:r>
      <w:r w:rsidRPr="00525121">
        <w:t xml:space="preserve"> millones de pesos, lo que en términos absolutos representan una diferencia </w:t>
      </w:r>
      <w:r>
        <w:t>positiva</w:t>
      </w:r>
      <w:r w:rsidRPr="00525121">
        <w:t xml:space="preserve"> de</w:t>
      </w:r>
      <w:r>
        <w:t>2 mil 172.6</w:t>
      </w:r>
      <w:r w:rsidRPr="00525121">
        <w:t>millones de pesos observando un crec</w:t>
      </w:r>
      <w:r>
        <w:t>imiento en términos reales de 15.3 por ciento</w:t>
      </w:r>
      <w:r w:rsidRPr="00525121">
        <w:t>.</w:t>
      </w:r>
    </w:p>
    <w:p w:rsidR="00E04EF1" w:rsidRPr="00525121" w:rsidRDefault="00E04EF1" w:rsidP="00E04EF1">
      <w:r>
        <w:t xml:space="preserve">Al Tercer Trimestre de 2020 la Transferencias recibidas por Convenios se </w:t>
      </w:r>
      <w:r w:rsidRPr="00352CDA">
        <w:t>obtuvo ingresos por un monto de</w:t>
      </w:r>
      <w:r>
        <w:t>2 mil167.2</w:t>
      </w:r>
      <w:r w:rsidRPr="00352CDA">
        <w:t xml:space="preserve"> millones de pesos y en el mismo periodo de 201</w:t>
      </w:r>
      <w:r>
        <w:t>9</w:t>
      </w:r>
      <w:r w:rsidRPr="00352CDA">
        <w:t xml:space="preserve"> ingresaron </w:t>
      </w:r>
      <w:r>
        <w:t>2 mil 312.3</w:t>
      </w:r>
      <w:r w:rsidRPr="00352CDA">
        <w:t xml:space="preserve"> millones de pesos, lo que representa una variación </w:t>
      </w:r>
      <w:r>
        <w:t>negativa</w:t>
      </w:r>
      <w:r w:rsidRPr="00352CDA">
        <w:t xml:space="preserve"> absoluta de </w:t>
      </w:r>
      <w:r>
        <w:t>145.0</w:t>
      </w:r>
      <w:r w:rsidRPr="00352CDA">
        <w:t xml:space="preserve"> millones de pesos, misma que observa un </w:t>
      </w:r>
      <w:r>
        <w:t>de</w:t>
      </w:r>
      <w:r w:rsidRPr="00352CDA">
        <w:t xml:space="preserve">crecimiento real del </w:t>
      </w:r>
      <w:r>
        <w:t>9.9</w:t>
      </w:r>
      <w:r w:rsidRPr="00352CDA">
        <w:t>%.</w:t>
      </w:r>
    </w:p>
    <w:p w:rsidR="00E04EF1" w:rsidRPr="00525121" w:rsidRDefault="00E04EF1" w:rsidP="00E04EF1">
      <w:r w:rsidRPr="00525121">
        <w:t xml:space="preserve">A través del rubro de Transferencias, Asignaciones, Subsidios y Otras Ayudas, en el </w:t>
      </w:r>
      <w:r w:rsidR="007F0A36" w:rsidRPr="00525121">
        <w:t>periodo de</w:t>
      </w:r>
      <w:r>
        <w:t xml:space="preserve"> enero-septiembre de 2020 la Hacienda Estatal recibió 4 mil 294.0</w:t>
      </w:r>
      <w:r w:rsidRPr="00525121">
        <w:t xml:space="preserve">millones de pesos, presentado un crecimiento absoluto de </w:t>
      </w:r>
      <w:r>
        <w:t>155.2</w:t>
      </w:r>
      <w:r w:rsidRPr="00525121">
        <w:t>millones de pesos respecto al mismo periodo del a</w:t>
      </w:r>
      <w:r>
        <w:t>ño anterior, cuando ingresaron 4 mil 138.8</w:t>
      </w:r>
      <w:r w:rsidRPr="00525121">
        <w:t xml:space="preserve"> millones de pesos por este mismo concepto, </w:t>
      </w:r>
      <w:r>
        <w:t>de acuerdo con lo anterior se observa una variación real negativa de 0.3%</w:t>
      </w:r>
      <w:r w:rsidRPr="00525121">
        <w:t>.</w:t>
      </w:r>
    </w:p>
    <w:p w:rsidR="00E04EF1" w:rsidRPr="00525121" w:rsidRDefault="00E04EF1" w:rsidP="00E04EF1">
      <w:r w:rsidRPr="00525121">
        <w:t>En el periodo de análisis el Estado no se observó ingresos por concepto de Financiamiento.</w:t>
      </w:r>
    </w:p>
    <w:p w:rsidR="00E04EF1" w:rsidRDefault="00E04EF1" w:rsidP="00E04EF1">
      <w:pPr>
        <w:rPr>
          <w:color w:val="000000"/>
          <w:lang w:eastAsia="es-MX"/>
        </w:rPr>
      </w:pPr>
      <w:r w:rsidRPr="00F20D69">
        <w:rPr>
          <w:color w:val="000000"/>
        </w:rPr>
        <w:t xml:space="preserve">La estructura de ingresos del Gobierno del Estado de Sinaloa al </w:t>
      </w:r>
      <w:r>
        <w:rPr>
          <w:color w:val="000000"/>
        </w:rPr>
        <w:t>Tercer</w:t>
      </w:r>
      <w:r w:rsidRPr="00F20D69">
        <w:rPr>
          <w:color w:val="000000"/>
        </w:rPr>
        <w:t xml:space="preserve"> Trimestre de 20</w:t>
      </w:r>
      <w:r>
        <w:rPr>
          <w:color w:val="000000"/>
        </w:rPr>
        <w:t>20</w:t>
      </w:r>
      <w:r w:rsidRPr="00F20D69">
        <w:rPr>
          <w:color w:val="000000"/>
          <w:lang w:eastAsia="es-MX"/>
        </w:rPr>
        <w:t xml:space="preserve">muestra que el </w:t>
      </w:r>
      <w:r>
        <w:rPr>
          <w:color w:val="000000"/>
          <w:lang w:eastAsia="es-MX"/>
        </w:rPr>
        <w:t>10.6</w:t>
      </w:r>
      <w:r w:rsidRPr="00F20D69">
        <w:rPr>
          <w:color w:val="000000"/>
          <w:lang w:eastAsia="es-MX"/>
        </w:rPr>
        <w:t xml:space="preserve">% corresponden a los Ingresos Propios, </w:t>
      </w:r>
      <w:r>
        <w:rPr>
          <w:color w:val="000000"/>
          <w:lang w:eastAsia="es-MX"/>
        </w:rPr>
        <w:t>41.9</w:t>
      </w:r>
      <w:r w:rsidRPr="00F20D69">
        <w:rPr>
          <w:color w:val="000000"/>
          <w:lang w:eastAsia="es-MX"/>
        </w:rPr>
        <w:t xml:space="preserve">% a Participaciones Federales, </w:t>
      </w:r>
      <w:r>
        <w:rPr>
          <w:color w:val="000000"/>
          <w:lang w:eastAsia="es-MX"/>
        </w:rPr>
        <w:t>31.7</w:t>
      </w:r>
      <w:r w:rsidRPr="00F20D69">
        <w:rPr>
          <w:color w:val="000000"/>
          <w:lang w:eastAsia="es-MX"/>
        </w:rPr>
        <w:t>% al Ramo 33</w:t>
      </w:r>
      <w:r>
        <w:rPr>
          <w:color w:val="000000"/>
          <w:lang w:eastAsia="es-MX"/>
        </w:rPr>
        <w:t>, 5.3% a Convenios</w:t>
      </w:r>
      <w:r w:rsidRPr="00F20D69">
        <w:rPr>
          <w:color w:val="000000"/>
          <w:lang w:eastAsia="es-MX"/>
        </w:rPr>
        <w:t xml:space="preserve"> y Transferencias, Asignaciones, Subsidios, y Otras Ayudas </w:t>
      </w:r>
      <w:r>
        <w:rPr>
          <w:color w:val="000000"/>
          <w:lang w:eastAsia="es-MX"/>
        </w:rPr>
        <w:t>10.4</w:t>
      </w:r>
      <w:r w:rsidRPr="00F20D69">
        <w:rPr>
          <w:color w:val="000000"/>
          <w:lang w:eastAsia="es-MX"/>
        </w:rPr>
        <w:t xml:space="preserve">%. </w:t>
      </w:r>
    </w:p>
    <w:p w:rsidR="00E04EF1" w:rsidRPr="00AA6CF9" w:rsidRDefault="00E04EF1" w:rsidP="00E04EF1">
      <w:pPr>
        <w:jc w:val="center"/>
        <w:rPr>
          <w:color w:val="000000"/>
          <w:lang w:eastAsia="es-MX"/>
        </w:rPr>
      </w:pPr>
      <w:r>
        <w:rPr>
          <w:noProof/>
          <w:color w:val="000000"/>
          <w:lang w:eastAsia="es-MX"/>
        </w:rPr>
        <w:drawing>
          <wp:inline distT="0" distB="0" distL="0" distR="0">
            <wp:extent cx="4852670" cy="28530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2670" cy="2853055"/>
                    </a:xfrm>
                    <a:prstGeom prst="rect">
                      <a:avLst/>
                    </a:prstGeom>
                    <a:noFill/>
                  </pic:spPr>
                </pic:pic>
              </a:graphicData>
            </a:graphic>
          </wp:inline>
        </w:drawing>
      </w:r>
    </w:p>
    <w:p w:rsidR="00E04EF1" w:rsidRPr="005F18CC" w:rsidRDefault="00E04EF1" w:rsidP="00E04EF1">
      <w:pPr>
        <w:rPr>
          <w:rFonts w:asciiTheme="minorHAnsi" w:hAnsiTheme="minorHAnsi" w:cstheme="minorHAnsi"/>
          <w:b/>
          <w:szCs w:val="24"/>
        </w:rPr>
      </w:pPr>
    </w:p>
    <w:p w:rsidR="00E04EF1" w:rsidRPr="00E04EF1" w:rsidRDefault="00E04EF1" w:rsidP="00E04EF1"/>
    <w:p w:rsidR="00507A47" w:rsidRPr="00A1565C" w:rsidRDefault="00507A47" w:rsidP="00507A47">
      <w:pPr>
        <w:pStyle w:val="Ttulo3"/>
        <w:spacing w:after="240"/>
        <w:rPr>
          <w:rFonts w:asciiTheme="minorHAnsi" w:hAnsiTheme="minorHAnsi" w:cstheme="minorHAnsi"/>
        </w:rPr>
      </w:pPr>
      <w:bookmarkStart w:id="34" w:name="_Toc521935702"/>
      <w:bookmarkStart w:id="35" w:name="_Toc47647117"/>
      <w:bookmarkStart w:id="36" w:name="_Toc55491761"/>
      <w:r w:rsidRPr="00A1565C">
        <w:rPr>
          <w:rFonts w:asciiTheme="minorHAnsi" w:hAnsiTheme="minorHAnsi" w:cstheme="minorHAnsi"/>
        </w:rPr>
        <w:lastRenderedPageBreak/>
        <w:t>2.1.2. Ingresos Estatales</w:t>
      </w:r>
      <w:bookmarkEnd w:id="34"/>
      <w:bookmarkEnd w:id="35"/>
      <w:bookmarkEnd w:id="36"/>
    </w:p>
    <w:p w:rsidR="00E04EF1" w:rsidRPr="00525121" w:rsidRDefault="00E04EF1" w:rsidP="00E04EF1">
      <w:bookmarkStart w:id="37" w:name="_Toc521935703"/>
      <w:r w:rsidRPr="00525121">
        <w:t xml:space="preserve">Al mes </w:t>
      </w:r>
      <w:r w:rsidR="007F0A36" w:rsidRPr="00525121">
        <w:t>de</w:t>
      </w:r>
      <w:r w:rsidR="007F0A36">
        <w:t xml:space="preserve"> septiembre</w:t>
      </w:r>
      <w:r>
        <w:t xml:space="preserve"> de2020, los Ingresos P</w:t>
      </w:r>
      <w:r w:rsidRPr="00525121">
        <w:t xml:space="preserve">ropios del Estado </w:t>
      </w:r>
      <w:r>
        <w:t>de Sinaloa fueron del orden de 4 mil 362.6</w:t>
      </w:r>
      <w:r w:rsidRPr="00525121">
        <w:t xml:space="preserve"> millones de pesos, presentando una difer</w:t>
      </w:r>
      <w:r>
        <w:t>encia absoluta negativa de 519.7</w:t>
      </w:r>
      <w:r w:rsidRPr="00525121">
        <w:t xml:space="preserve"> millones de pesos, comparados al mismo periodo del año anterior, obser</w:t>
      </w:r>
      <w:r>
        <w:t>vando un decrecimiento real de 14.1 por ciento</w:t>
      </w:r>
      <w:r w:rsidRPr="00525121">
        <w:t>.</w:t>
      </w:r>
    </w:p>
    <w:p w:rsidR="00E04EF1" w:rsidRDefault="00E04EF1" w:rsidP="00E04EF1">
      <w:pPr>
        <w:spacing w:after="0"/>
        <w:rPr>
          <w:noProof/>
          <w:szCs w:val="24"/>
          <w:lang w:eastAsia="es-MX"/>
        </w:rPr>
      </w:pPr>
      <w:r w:rsidRPr="00A67640">
        <w:rPr>
          <w:noProof/>
          <w:lang w:eastAsia="es-MX"/>
        </w:rPr>
        <w:drawing>
          <wp:inline distT="0" distB="0" distL="0" distR="0">
            <wp:extent cx="5581015" cy="1993900"/>
            <wp:effectExtent l="0" t="0" r="635" b="635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015" cy="1993900"/>
                    </a:xfrm>
                    <a:prstGeom prst="rect">
                      <a:avLst/>
                    </a:prstGeom>
                    <a:noFill/>
                    <a:ln>
                      <a:noFill/>
                    </a:ln>
                  </pic:spPr>
                </pic:pic>
              </a:graphicData>
            </a:graphic>
          </wp:inline>
        </w:drawing>
      </w:r>
    </w:p>
    <w:p w:rsidR="00E04EF1" w:rsidRDefault="00E04EF1" w:rsidP="00E04EF1"/>
    <w:p w:rsidR="00E04EF1" w:rsidRDefault="00E04EF1" w:rsidP="00E04EF1">
      <w:pPr>
        <w:rPr>
          <w:color w:val="000000"/>
        </w:rPr>
      </w:pPr>
      <w:r w:rsidRPr="00F80708">
        <w:t xml:space="preserve">La participación relativa de los conceptos que integran los ingresos propios presenta al mes de </w:t>
      </w:r>
      <w:r>
        <w:t>septiembre</w:t>
      </w:r>
      <w:r w:rsidRPr="00F80708">
        <w:t xml:space="preserve"> de 20</w:t>
      </w:r>
      <w:r>
        <w:t>20</w:t>
      </w:r>
      <w:r w:rsidRPr="00F80708">
        <w:t>, la siguiente estructura</w:t>
      </w:r>
      <w:r w:rsidRPr="000B5B2E">
        <w:rPr>
          <w:color w:val="000000"/>
        </w:rPr>
        <w:t xml:space="preserve">: los impuestos representan el </w:t>
      </w:r>
      <w:r>
        <w:rPr>
          <w:color w:val="000000"/>
        </w:rPr>
        <w:t>40.1</w:t>
      </w:r>
      <w:r w:rsidRPr="000B5B2E">
        <w:rPr>
          <w:color w:val="000000"/>
        </w:rPr>
        <w:t xml:space="preserve">%, Derechos </w:t>
      </w:r>
      <w:r>
        <w:rPr>
          <w:color w:val="000000"/>
        </w:rPr>
        <w:t>55.3</w:t>
      </w:r>
      <w:r w:rsidRPr="000B5B2E">
        <w:rPr>
          <w:color w:val="000000"/>
        </w:rPr>
        <w:t xml:space="preserve">%, Productos </w:t>
      </w:r>
      <w:r>
        <w:rPr>
          <w:color w:val="000000"/>
        </w:rPr>
        <w:t>1.0</w:t>
      </w:r>
      <w:r w:rsidRPr="000B5B2E">
        <w:rPr>
          <w:color w:val="000000"/>
        </w:rPr>
        <w:t>%</w:t>
      </w:r>
      <w:r>
        <w:rPr>
          <w:color w:val="000000"/>
        </w:rPr>
        <w:t>,</w:t>
      </w:r>
      <w:r w:rsidRPr="000B5B2E">
        <w:rPr>
          <w:color w:val="000000"/>
        </w:rPr>
        <w:t xml:space="preserve"> Aprovechamientos el </w:t>
      </w:r>
      <w:r>
        <w:rPr>
          <w:color w:val="000000"/>
        </w:rPr>
        <w:t>1.5</w:t>
      </w:r>
      <w:r w:rsidRPr="000B5B2E">
        <w:rPr>
          <w:color w:val="000000"/>
        </w:rPr>
        <w:t>%</w:t>
      </w:r>
      <w:r>
        <w:rPr>
          <w:color w:val="000000"/>
        </w:rPr>
        <w:t xml:space="preserve"> y Venta de Bienes, Servicios y Otros el 2.0%</w:t>
      </w:r>
      <w:r w:rsidRPr="000B5B2E">
        <w:rPr>
          <w:color w:val="000000"/>
        </w:rPr>
        <w:t xml:space="preserve"> del ingreso propio total. </w:t>
      </w:r>
    </w:p>
    <w:p w:rsidR="00E04EF1" w:rsidRDefault="00E04EF1" w:rsidP="00E04EF1">
      <w:pPr>
        <w:rPr>
          <w:color w:val="000000"/>
        </w:rPr>
      </w:pPr>
      <w:r>
        <w:rPr>
          <w:noProof/>
          <w:color w:val="000000"/>
          <w:lang w:eastAsia="es-MX"/>
        </w:rPr>
        <w:drawing>
          <wp:inline distT="0" distB="0" distL="0" distR="0">
            <wp:extent cx="5571037" cy="3571875"/>
            <wp:effectExtent l="0" t="0" r="0" b="0"/>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2751" cy="3579386"/>
                    </a:xfrm>
                    <a:prstGeom prst="rect">
                      <a:avLst/>
                    </a:prstGeom>
                    <a:noFill/>
                  </pic:spPr>
                </pic:pic>
              </a:graphicData>
            </a:graphic>
          </wp:inline>
        </w:drawing>
      </w:r>
    </w:p>
    <w:p w:rsidR="00E04EF1" w:rsidRPr="000B5B2E" w:rsidRDefault="00E04EF1" w:rsidP="00E04EF1">
      <w:pPr>
        <w:rPr>
          <w:color w:val="000000"/>
        </w:rPr>
      </w:pPr>
    </w:p>
    <w:p w:rsidR="00E04EF1" w:rsidRDefault="00507A47" w:rsidP="00507A47">
      <w:pPr>
        <w:pStyle w:val="Ttulo3"/>
        <w:spacing w:after="240"/>
        <w:rPr>
          <w:rFonts w:asciiTheme="minorHAnsi" w:hAnsiTheme="minorHAnsi" w:cstheme="minorHAnsi"/>
        </w:rPr>
      </w:pPr>
      <w:bookmarkStart w:id="38" w:name="_Toc47647118"/>
      <w:bookmarkStart w:id="39" w:name="_Toc55491762"/>
      <w:r w:rsidRPr="00633F9D">
        <w:rPr>
          <w:rFonts w:asciiTheme="minorHAnsi" w:hAnsiTheme="minorHAnsi" w:cstheme="minorHAnsi"/>
        </w:rPr>
        <w:t>2.1.2.1. Impuestos</w:t>
      </w:r>
      <w:bookmarkStart w:id="40" w:name="_Toc521935704"/>
      <w:bookmarkStart w:id="41" w:name="_Toc47647119"/>
      <w:bookmarkStart w:id="42" w:name="_Toc55491763"/>
      <w:bookmarkEnd w:id="37"/>
      <w:bookmarkEnd w:id="38"/>
      <w:bookmarkEnd w:id="39"/>
    </w:p>
    <w:p w:rsidR="00E04EF1" w:rsidRPr="00525121" w:rsidRDefault="00E04EF1" w:rsidP="00E04EF1">
      <w:r w:rsidRPr="00CA37F0">
        <w:t xml:space="preserve">Al </w:t>
      </w:r>
      <w:r>
        <w:t>Tercer</w:t>
      </w:r>
      <w:r w:rsidRPr="00CA37F0">
        <w:t xml:space="preserve"> Trimestre de 20</w:t>
      </w:r>
      <w:r>
        <w:t>20</w:t>
      </w:r>
      <w:r w:rsidRPr="006F5421">
        <w:t>,</w:t>
      </w:r>
      <w:r w:rsidRPr="00525121">
        <w:t xml:space="preserve"> los ingresos estatal</w:t>
      </w:r>
      <w:r>
        <w:t>es por impuestos presentan un decrecimiento real de 10.7</w:t>
      </w:r>
      <w:r w:rsidRPr="00525121">
        <w:t xml:space="preserve">% con respecto al mismo periodo del año anterior, </w:t>
      </w:r>
      <w:r>
        <w:t>observando 133.0</w:t>
      </w:r>
      <w:r w:rsidRPr="00525121">
        <w:t xml:space="preserve">millones de pesos </w:t>
      </w:r>
      <w:r>
        <w:t xml:space="preserve">menos </w:t>
      </w:r>
      <w:r w:rsidRPr="00525121">
        <w:t xml:space="preserve">con respecto al mismo periodo de </w:t>
      </w:r>
      <w:r>
        <w:t>2019</w:t>
      </w:r>
      <w:r w:rsidRPr="00525121">
        <w:t>.</w:t>
      </w:r>
    </w:p>
    <w:p w:rsidR="00E04EF1" w:rsidRPr="00525121" w:rsidRDefault="00E04EF1" w:rsidP="00E04EF1">
      <w:pPr>
        <w:rPr>
          <w:rFonts w:ascii="Arial" w:hAnsi="Arial" w:cs="Arial"/>
          <w:szCs w:val="24"/>
        </w:rPr>
      </w:pPr>
    </w:p>
    <w:p w:rsidR="00E04EF1" w:rsidRDefault="00E04EF1" w:rsidP="00E04EF1">
      <w:r w:rsidRPr="00C44F8E">
        <w:rPr>
          <w:noProof/>
          <w:lang w:eastAsia="es-MX"/>
        </w:rPr>
        <w:drawing>
          <wp:inline distT="0" distB="0" distL="0" distR="0">
            <wp:extent cx="5581015" cy="3585845"/>
            <wp:effectExtent l="0" t="0" r="635" b="0"/>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015" cy="3585845"/>
                    </a:xfrm>
                    <a:prstGeom prst="rect">
                      <a:avLst/>
                    </a:prstGeom>
                    <a:noFill/>
                    <a:ln>
                      <a:noFill/>
                    </a:ln>
                  </pic:spPr>
                </pic:pic>
              </a:graphicData>
            </a:graphic>
          </wp:inline>
        </w:drawing>
      </w:r>
    </w:p>
    <w:p w:rsidR="00E04EF1" w:rsidRDefault="00E04EF1" w:rsidP="00E04EF1"/>
    <w:p w:rsidR="00E04EF1" w:rsidRDefault="00E04EF1" w:rsidP="00E04EF1">
      <w:r w:rsidRPr="004F3E61">
        <w:t xml:space="preserve">El Impuesto sobre los ingresos en materia de apuestas y sorteos observa un </w:t>
      </w:r>
      <w:r>
        <w:t>de</w:t>
      </w:r>
      <w:r w:rsidRPr="004F3E61">
        <w:t xml:space="preserve">crecimiento absoluto de </w:t>
      </w:r>
      <w:r>
        <w:t>43.9</w:t>
      </w:r>
      <w:r w:rsidRPr="004F3E61">
        <w:t xml:space="preserve"> millones de pesos con respecto al mismo periodo del año anterior, por lo que se observa una variación real </w:t>
      </w:r>
      <w:r>
        <w:t>negativa</w:t>
      </w:r>
      <w:r w:rsidRPr="004F3E61">
        <w:t xml:space="preserve"> de </w:t>
      </w:r>
      <w:r>
        <w:t>48.0</w:t>
      </w:r>
      <w:r w:rsidRPr="004F3E61">
        <w:t xml:space="preserve"> por ciento, se observa una disminución a los recursos por ingresos del impuesto de la Prestación de Servicios de Juegos con Apuestas y Concursos por </w:t>
      </w:r>
      <w:r>
        <w:t>83.1</w:t>
      </w:r>
      <w:r w:rsidRPr="004F3E61">
        <w:t xml:space="preserve"> millones de pesos respecto al mismo periodo del año anterior; es de considerarse que los ingresos adicionales del concepto Obtención de Premios de </w:t>
      </w:r>
      <w:r>
        <w:t>25.4</w:t>
      </w:r>
      <w:r w:rsidRPr="004F3E61">
        <w:t xml:space="preserve"> millones de pesos son ocasionales, en virtud de estar supeditado a la participación de</w:t>
      </w:r>
      <w:r>
        <w:t xml:space="preserve"> los sinaloenses a los diversos </w:t>
      </w:r>
      <w:r w:rsidRPr="004F3E61">
        <w:t xml:space="preserve">concursos </w:t>
      </w:r>
      <w:r>
        <w:t>de toda clase de rifas, loterías, sorteos y juegos con apuestas en el Estado</w:t>
      </w:r>
      <w:r w:rsidRPr="004F3E61">
        <w:t xml:space="preserve"> que por esa participación se hagan acreedores de algún premio</w:t>
      </w:r>
      <w:r>
        <w:t xml:space="preserve">; la modificación a la reforma del Artículos 34 de la </w:t>
      </w:r>
      <w:r w:rsidRPr="000A341D">
        <w:t>Ley de Hacienda</w:t>
      </w:r>
      <w:r>
        <w:t xml:space="preserve"> del Estado, donde </w:t>
      </w:r>
      <w:r w:rsidR="007F0A36">
        <w:t>establece que</w:t>
      </w:r>
      <w:r>
        <w:t xml:space="preserve"> el </w:t>
      </w:r>
      <w:r w:rsidRPr="0081172E">
        <w:t xml:space="preserve">impuesto se calculará aplicando la tasa del 10 por ciento al </w:t>
      </w:r>
      <w:r w:rsidRPr="0081172E">
        <w:lastRenderedPageBreak/>
        <w:t xml:space="preserve">monto de las erogaciones efectuadas por la persona que participe en juegos con apuestas, </w:t>
      </w:r>
      <w:r>
        <w:t xml:space="preserve">observa ingresos adicionales </w:t>
      </w:r>
      <w:r w:rsidRPr="00CD729A">
        <w:t xml:space="preserve">de </w:t>
      </w:r>
      <w:r>
        <w:t>13.8</w:t>
      </w:r>
      <w:r w:rsidRPr="00CD729A">
        <w:t xml:space="preserve"> millones de pesos</w:t>
      </w:r>
      <w:r>
        <w:t>.</w:t>
      </w:r>
    </w:p>
    <w:p w:rsidR="00E04EF1" w:rsidRPr="001021B4" w:rsidRDefault="00E04EF1" w:rsidP="00E04EF1"/>
    <w:p w:rsidR="00E04EF1" w:rsidRPr="00525121" w:rsidRDefault="00E04EF1" w:rsidP="00E04EF1">
      <w:r w:rsidRPr="00525121">
        <w:t>El Impuesto de Tenencia o uso de Vehículos observa al period</w:t>
      </w:r>
      <w:r>
        <w:t xml:space="preserve">o una variación negativa de 60.4%, </w:t>
      </w:r>
      <w:r w:rsidRPr="00525121">
        <w:t>como</w:t>
      </w:r>
      <w:r>
        <w:t xml:space="preserve"> resultado de la reforma de la Ley de Hacienda del Estado de Sinaloa en la que establece la derogación de este impuesto a partir de 2018, por lo que los ingresos observados corresponden a los rezagos del Impuesto referido. </w:t>
      </w:r>
    </w:p>
    <w:p w:rsidR="00E04EF1" w:rsidRPr="00525121" w:rsidRDefault="00E04EF1" w:rsidP="00E04EF1">
      <w:r w:rsidRPr="00525121">
        <w:t>El impuesto sobre Adquisición de Vehículos de Motor Usado observa</w:t>
      </w:r>
      <w:r>
        <w:t xml:space="preserve"> un de</w:t>
      </w:r>
      <w:r w:rsidRPr="00525121">
        <w:t>crecimiento con r</w:t>
      </w:r>
      <w:r>
        <w:t>especto al mismo periodo de 2019</w:t>
      </w:r>
      <w:r w:rsidRPr="00525121">
        <w:t xml:space="preserve"> en términos reales del </w:t>
      </w:r>
      <w:r>
        <w:t>17.4</w:t>
      </w:r>
      <w:r w:rsidRPr="00525121">
        <w:t>%</w:t>
      </w:r>
      <w:r>
        <w:t>, representando la cantidad de 10.3 millo</w:t>
      </w:r>
      <w:r w:rsidRPr="0073151D">
        <w:t xml:space="preserve">nes de pesos </w:t>
      </w:r>
      <w:r>
        <w:t>meno</w:t>
      </w:r>
      <w:r w:rsidRPr="0073151D">
        <w:t xml:space="preserve">s, </w:t>
      </w:r>
      <w:r w:rsidRPr="008C1F06">
        <w:t xml:space="preserve">lo anterior </w:t>
      </w:r>
      <w:r>
        <w:t>derivado a l</w:t>
      </w:r>
      <w:r w:rsidRPr="008C1F06">
        <w:t xml:space="preserve">a caída </w:t>
      </w:r>
      <w:r>
        <w:t>del</w:t>
      </w:r>
      <w:r w:rsidRPr="008C1F06">
        <w:t xml:space="preserve"> número de </w:t>
      </w:r>
      <w:r w:rsidRPr="00263174">
        <w:t>pagos con respecto al mismo periodo de 201</w:t>
      </w:r>
      <w:r>
        <w:t>9</w:t>
      </w:r>
      <w:r w:rsidRPr="00263174">
        <w:t xml:space="preserve">, ya que al mes de </w:t>
      </w:r>
      <w:r>
        <w:t>septiembre</w:t>
      </w:r>
      <w:r w:rsidRPr="00263174">
        <w:t xml:space="preserve"> del presente ejercicio fiscal se registraron </w:t>
      </w:r>
      <w:r>
        <w:t>62</w:t>
      </w:r>
      <w:r w:rsidRPr="00263174">
        <w:t xml:space="preserve"> mil </w:t>
      </w:r>
      <w:r>
        <w:t>740</w:t>
      </w:r>
      <w:r w:rsidRPr="00263174">
        <w:t xml:space="preserve"> pagos contra </w:t>
      </w:r>
      <w:r>
        <w:t>72</w:t>
      </w:r>
      <w:r w:rsidRPr="00263174">
        <w:t xml:space="preserve"> mil </w:t>
      </w:r>
      <w:r>
        <w:t>402</w:t>
      </w:r>
      <w:r w:rsidRPr="00263174">
        <w:t xml:space="preserve"> al mismo mes de 201</w:t>
      </w:r>
      <w:r>
        <w:t>9</w:t>
      </w:r>
      <w:r w:rsidRPr="00263174">
        <w:t xml:space="preserve">. </w:t>
      </w:r>
    </w:p>
    <w:p w:rsidR="00E04EF1" w:rsidRPr="00C5485A" w:rsidRDefault="00E04EF1" w:rsidP="00E04EF1">
      <w:r w:rsidRPr="000F3FFE">
        <w:t xml:space="preserve">El Impuesto sobre la Prestación de Servicios de Hospedaje, observa un </w:t>
      </w:r>
      <w:r>
        <w:t>de</w:t>
      </w:r>
      <w:r w:rsidRPr="000F3FFE">
        <w:t xml:space="preserve">crecimiento real de </w:t>
      </w:r>
      <w:r>
        <w:t>44.6</w:t>
      </w:r>
      <w:r w:rsidRPr="000F3FFE">
        <w:t>%, lo an</w:t>
      </w:r>
      <w:r>
        <w:t>terior se debe principalmente al cierre de hoteles al final del primer trimestre del año, como efecto del</w:t>
      </w:r>
      <w:r w:rsidR="00023DA5">
        <w:t xml:space="preserve"> </w:t>
      </w:r>
      <w:r>
        <w:t>confinamiento</w:t>
      </w:r>
      <w:r w:rsidR="00023DA5">
        <w:t xml:space="preserve"> </w:t>
      </w:r>
      <w:r>
        <w:t>a nivel Nacional originado por el virus</w:t>
      </w:r>
      <w:r w:rsidRPr="001129C5">
        <w:t>Covid-19</w:t>
      </w:r>
      <w:r>
        <w:t>, l</w:t>
      </w:r>
      <w:r w:rsidRPr="000F3FFE">
        <w:t xml:space="preserve">o anterior </w:t>
      </w:r>
      <w:r>
        <w:t>repercutió</w:t>
      </w:r>
      <w:r w:rsidRPr="000F3FFE">
        <w:t xml:space="preserve"> la afluencia turística a la Entidad.</w:t>
      </w:r>
      <w:r>
        <w:t xml:space="preserve"> S</w:t>
      </w:r>
      <w:r w:rsidRPr="00C5485A">
        <w:t xml:space="preserve">e observa una variación significativa </w:t>
      </w:r>
      <w:r>
        <w:t xml:space="preserve">menor de 157 pagos durante el periodo analizado; ya que el número de pagos a septiembre de 2020 ascendió a </w:t>
      </w:r>
      <w:r w:rsidRPr="00BC10D8">
        <w:t>3 mil 774</w:t>
      </w:r>
      <w:r>
        <w:t xml:space="preserve"> y al mismo periodo de 2019 fue de 3 mil 931 pagos.</w:t>
      </w:r>
    </w:p>
    <w:p w:rsidR="00E04EF1" w:rsidRPr="000B5B2E" w:rsidRDefault="00E04EF1" w:rsidP="00E04EF1">
      <w:pPr>
        <w:rPr>
          <w:color w:val="000000"/>
        </w:rPr>
      </w:pPr>
      <w:r w:rsidRPr="00525121">
        <w:t>El I</w:t>
      </w:r>
      <w:r>
        <w:t>mpuesto Sobre Nóminas, al Tercer Trimestre de 2020</w:t>
      </w:r>
      <w:r w:rsidRPr="00525121">
        <w:t xml:space="preserve">, </w:t>
      </w:r>
      <w:r>
        <w:t xml:space="preserve">registra un </w:t>
      </w:r>
      <w:r w:rsidRPr="003407DE">
        <w:t xml:space="preserve">decrecimiento de 4.4% en términos reales con respecto al mismo período de 2019, </w:t>
      </w:r>
      <w:r w:rsidR="007F0A36" w:rsidRPr="003407DE">
        <w:t>esta disminución</w:t>
      </w:r>
      <w:r w:rsidRPr="003407DE">
        <w:t xml:space="preserve"> se debe a las medidas de contingencia sanitaria ante la pandemia mencionada en el párrafo anterior, donde se redujeron los empleos formales, así como disminuyeron las horas laborales de los empleados, lo </w:t>
      </w:r>
      <w:r w:rsidR="007F0A36" w:rsidRPr="003407DE">
        <w:t>que determina</w:t>
      </w:r>
      <w:r w:rsidRPr="003407DE">
        <w:t xml:space="preserve"> menores remuneraciones y por lo tanto menos gravamen de ingresos al momento de presentar las </w:t>
      </w:r>
      <w:r w:rsidR="007F0A36" w:rsidRPr="003407DE">
        <w:t>declaraciones</w:t>
      </w:r>
      <w:r w:rsidR="007F0A36">
        <w:t>;</w:t>
      </w:r>
      <w:r w:rsidR="007F0A36" w:rsidRPr="003407DE">
        <w:t xml:space="preserve"> la</w:t>
      </w:r>
      <w:r w:rsidRPr="003407DE">
        <w:t xml:space="preserve"> modificación del periodo a declarar de bimestral a mensual según Artículo 19 de la Ley de Hacienda en donde se menciona que el pago deberá efectuarse mensualmente, incrementó</w:t>
      </w:r>
      <w:r w:rsidRPr="003407DE">
        <w:rPr>
          <w:color w:val="000000"/>
        </w:rPr>
        <w:t xml:space="preserve"> el número de pagos, ya que al mes de septiembre de 2020  se </w:t>
      </w:r>
      <w:r w:rsidRPr="00AD27F8">
        <w:rPr>
          <w:color w:val="000000"/>
        </w:rPr>
        <w:t>realizaron 30</w:t>
      </w:r>
      <w:r>
        <w:rPr>
          <w:color w:val="000000"/>
        </w:rPr>
        <w:t>3</w:t>
      </w:r>
      <w:r w:rsidRPr="00AD27F8">
        <w:rPr>
          <w:color w:val="000000"/>
        </w:rPr>
        <w:t xml:space="preserve"> mil </w:t>
      </w:r>
      <w:r>
        <w:rPr>
          <w:color w:val="000000"/>
        </w:rPr>
        <w:t>986</w:t>
      </w:r>
      <w:r w:rsidRPr="00AD27F8">
        <w:rPr>
          <w:color w:val="000000"/>
        </w:rPr>
        <w:t xml:space="preserve"> pagos por este concepto, mientras que al mismo periodo de 2019 se registraron 184 mil 292, representando 1</w:t>
      </w:r>
      <w:r>
        <w:rPr>
          <w:color w:val="000000"/>
        </w:rPr>
        <w:t>19</w:t>
      </w:r>
      <w:r w:rsidRPr="00AD27F8">
        <w:rPr>
          <w:color w:val="000000"/>
        </w:rPr>
        <w:t xml:space="preserve"> mil </w:t>
      </w:r>
      <w:r>
        <w:rPr>
          <w:color w:val="000000"/>
        </w:rPr>
        <w:t>694</w:t>
      </w:r>
      <w:r w:rsidRPr="00AD27F8">
        <w:rPr>
          <w:color w:val="000000"/>
        </w:rPr>
        <w:t xml:space="preserve"> transa</w:t>
      </w:r>
      <w:r w:rsidRPr="003407DE">
        <w:rPr>
          <w:color w:val="000000"/>
        </w:rPr>
        <w:t>cciones más.</w:t>
      </w:r>
    </w:p>
    <w:p w:rsidR="00E04EF1" w:rsidRPr="00525121" w:rsidRDefault="00E04EF1" w:rsidP="00E04EF1">
      <w:r w:rsidRPr="002B24ED">
        <w:t>Los accesorios, que corresponden a los Recargos, Multas, Honorarios y Gastos de Ejecución, que se der</w:t>
      </w:r>
      <w:r>
        <w:t>ivan del cobro de los diversos i</w:t>
      </w:r>
      <w:r w:rsidRPr="002B24ED">
        <w:t xml:space="preserve">mpuestos que no fueron cubiertos en tiempo y forma por los contribuyentes, presentan al periodo de análisis una variación </w:t>
      </w:r>
      <w:r>
        <w:t>negativa</w:t>
      </w:r>
      <w:r w:rsidRPr="002B24ED">
        <w:t xml:space="preserve"> del </w:t>
      </w:r>
      <w:r>
        <w:t>8.8</w:t>
      </w:r>
      <w:r w:rsidRPr="002B24ED">
        <w:t>%, con respecto al mismo periodo del año inmediato anterior.</w:t>
      </w:r>
    </w:p>
    <w:p w:rsidR="00E04EF1" w:rsidRPr="00525121" w:rsidRDefault="00E04EF1" w:rsidP="00E04EF1">
      <w:r w:rsidRPr="00525121">
        <w:lastRenderedPageBreak/>
        <w:t>Las contribuciones adicionales que corresponden al 10% Pro-educación y a</w:t>
      </w:r>
      <w:r>
        <w:t>l 20% Municipal, presentan un de</w:t>
      </w:r>
      <w:r w:rsidRPr="00525121">
        <w:t>crecimiento</w:t>
      </w:r>
      <w:r>
        <w:t xml:space="preserve"> del 17.1</w:t>
      </w:r>
      <w:r w:rsidRPr="00525121">
        <w:t xml:space="preserve">%, lo anterior se deriva del comportamiento de los rubros a los cuales están relacionados, de conformidad con los artículos 111 y 114 de la Ley de Hacienda del Estado de Sinaloa.  </w:t>
      </w:r>
    </w:p>
    <w:p w:rsidR="00E04EF1" w:rsidRDefault="00E04EF1" w:rsidP="00507A47">
      <w:pPr>
        <w:pStyle w:val="Ttulo3"/>
        <w:spacing w:after="240"/>
        <w:rPr>
          <w:rFonts w:asciiTheme="minorHAnsi" w:hAnsiTheme="minorHAnsi" w:cstheme="minorHAnsi"/>
        </w:rPr>
      </w:pPr>
    </w:p>
    <w:p w:rsidR="00507A47" w:rsidRDefault="00507A47" w:rsidP="00507A47">
      <w:pPr>
        <w:pStyle w:val="Ttulo3"/>
        <w:spacing w:after="240"/>
        <w:rPr>
          <w:rFonts w:asciiTheme="minorHAnsi" w:hAnsiTheme="minorHAnsi" w:cstheme="minorHAnsi"/>
        </w:rPr>
      </w:pPr>
      <w:r w:rsidRPr="00633F9D">
        <w:rPr>
          <w:rFonts w:asciiTheme="minorHAnsi" w:hAnsiTheme="minorHAnsi" w:cstheme="minorHAnsi"/>
        </w:rPr>
        <w:t>2.1.2.2. Derechos</w:t>
      </w:r>
      <w:bookmarkEnd w:id="40"/>
      <w:bookmarkEnd w:id="41"/>
      <w:bookmarkEnd w:id="42"/>
    </w:p>
    <w:p w:rsidR="00E04EF1" w:rsidRDefault="00E04EF1" w:rsidP="00E04EF1">
      <w:r w:rsidRPr="00525121">
        <w:t xml:space="preserve">Los ingresos obtenidos al </w:t>
      </w:r>
      <w:r>
        <w:t>Tercer Trimestre de 2020</w:t>
      </w:r>
      <w:r w:rsidRPr="00525121">
        <w:t>,por concep</w:t>
      </w:r>
      <w:r>
        <w:t>to de Derechos ascendieron a 2 mil 411.9</w:t>
      </w:r>
      <w:r w:rsidRPr="00525121">
        <w:t xml:space="preserve"> millones de pesos, pr</w:t>
      </w:r>
      <w:r>
        <w:t>esentando un decrecimiento de 18.7</w:t>
      </w:r>
      <w:r w:rsidRPr="00525121">
        <w:t>% en términos reales respecto al mismo periodo del año anterior; representando</w:t>
      </w:r>
      <w:r>
        <w:t xml:space="preserve"> una disminución de</w:t>
      </w:r>
      <w:r w:rsidRPr="00525121">
        <w:t xml:space="preserve"> ingresos</w:t>
      </w:r>
      <w:r>
        <w:t xml:space="preserve"> por el orden de 441.5</w:t>
      </w:r>
      <w:r w:rsidRPr="00525121">
        <w:t xml:space="preserve"> millones de pesos respecto a los obte</w:t>
      </w:r>
      <w:r>
        <w:t>nidos al mismo periodo de 2019</w:t>
      </w:r>
      <w:r w:rsidRPr="00525121">
        <w:t xml:space="preserve">; </w:t>
      </w:r>
      <w:r>
        <w:t>lo anterior corresponde a menores ingresos en la mayoría de sus conceptos, principalmente en Licencias y Servicios de Tránsito y Organismos Descentralizados.</w:t>
      </w:r>
    </w:p>
    <w:p w:rsidR="00E04EF1" w:rsidRPr="00525121" w:rsidRDefault="00E04EF1" w:rsidP="00E04EF1">
      <w:r w:rsidRPr="00C44F8E">
        <w:rPr>
          <w:noProof/>
          <w:lang w:eastAsia="es-MX"/>
        </w:rPr>
        <w:drawing>
          <wp:inline distT="0" distB="0" distL="0" distR="0">
            <wp:extent cx="5581015" cy="3442335"/>
            <wp:effectExtent l="0" t="0" r="635" b="5715"/>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015" cy="3442335"/>
                    </a:xfrm>
                    <a:prstGeom prst="rect">
                      <a:avLst/>
                    </a:prstGeom>
                    <a:noFill/>
                    <a:ln>
                      <a:noFill/>
                    </a:ln>
                  </pic:spPr>
                </pic:pic>
              </a:graphicData>
            </a:graphic>
          </wp:inline>
        </w:drawing>
      </w:r>
    </w:p>
    <w:p w:rsidR="00E04EF1" w:rsidRDefault="00E04EF1" w:rsidP="00E04EF1"/>
    <w:p w:rsidR="00E04EF1" w:rsidRDefault="00E04EF1" w:rsidP="00E04EF1">
      <w:r>
        <w:t>Los Derechos por el uso, goce, aprovechamientos o explotación de bienes de dominio público, observan al período de análisis una disminución en los ingresos reales en un 10.8 por ciento.</w:t>
      </w:r>
    </w:p>
    <w:p w:rsidR="00E04EF1" w:rsidRPr="00107862" w:rsidRDefault="00E04EF1" w:rsidP="00E04EF1">
      <w:pPr>
        <w:rPr>
          <w:color w:val="C00000"/>
        </w:rPr>
      </w:pPr>
      <w:r>
        <w:lastRenderedPageBreak/>
        <w:t>L</w:t>
      </w:r>
      <w:r w:rsidRPr="00525121">
        <w:t xml:space="preserve">a Autopista </w:t>
      </w:r>
      <w:r>
        <w:t>“Benito Juárez”,</w:t>
      </w:r>
      <w:r w:rsidRPr="00525121">
        <w:t xml:space="preserve"> r</w:t>
      </w:r>
      <w:r>
        <w:t>egistra un decrecimiento del 10.1</w:t>
      </w:r>
      <w:r w:rsidRPr="00525121">
        <w:t xml:space="preserve">% en términos reales, </w:t>
      </w:r>
      <w:r>
        <w:t>con una disminución en sus ingresos de 40.0 millones comparados con el mismo periodo del año anterior.</w:t>
      </w:r>
    </w:p>
    <w:p w:rsidR="00E04EF1" w:rsidRPr="00107862" w:rsidRDefault="00E04EF1" w:rsidP="00E04EF1">
      <w:pPr>
        <w:rPr>
          <w:color w:val="C00000"/>
        </w:rPr>
      </w:pPr>
      <w:r w:rsidRPr="00277685">
        <w:t xml:space="preserve">En lo que corresponde al Puente “San Miguel” presenta un </w:t>
      </w:r>
      <w:r>
        <w:t>decrecimiento de 12.2</w:t>
      </w:r>
      <w:r w:rsidRPr="00277685">
        <w:t xml:space="preserve">% en términos reales, </w:t>
      </w:r>
      <w:r>
        <w:t xml:space="preserve">observando un menor ingreso de 20.9 millones de pesos </w:t>
      </w:r>
      <w:r w:rsidRPr="00277685">
        <w:t>con respecto a lo ob</w:t>
      </w:r>
      <w:r>
        <w:t>servado al mismo período de 2019.</w:t>
      </w:r>
    </w:p>
    <w:p w:rsidR="00E04EF1" w:rsidRPr="00525121" w:rsidRDefault="00E04EF1" w:rsidP="00E04EF1">
      <w:r w:rsidRPr="00525121">
        <w:t>El resto de los Derechos que se integra por los conceptos de Publicaciones en el Periódico Oficial, Derechos de Prestación de Servicios de Seguridad Privada y Derechos de Vía,</w:t>
      </w:r>
      <w:r>
        <w:t xml:space="preserve"> observan un decrecimiento del 41.4</w:t>
      </w:r>
      <w:r w:rsidRPr="00525121">
        <w:t>% en términos reales con r</w:t>
      </w:r>
      <w:r>
        <w:t>elación al mismo periodo de 2019</w:t>
      </w:r>
      <w:r w:rsidRPr="00525121">
        <w:t>.</w:t>
      </w:r>
    </w:p>
    <w:p w:rsidR="00E04EF1" w:rsidRDefault="00E04EF1" w:rsidP="00E04EF1">
      <w:r>
        <w:t>Los Derechos por la Prestación de Servicios, observan al mes de septiembre un decrecimiento en sus ingresos en un 23.1% en términos reales.</w:t>
      </w:r>
    </w:p>
    <w:p w:rsidR="00E04EF1" w:rsidRPr="00525121" w:rsidRDefault="00E04EF1" w:rsidP="00E04EF1">
      <w:r w:rsidRPr="00525121">
        <w:t>Los Actos de Registro Civil present</w:t>
      </w:r>
      <w:r>
        <w:t>an un decrecimiento en los ingresos, con respecto al tercer trimestre de 2019, observando un decrecimiento en términos absolutos de 33.8 millones de pesos y43.4% real.</w:t>
      </w:r>
    </w:p>
    <w:p w:rsidR="00E04EF1" w:rsidRPr="00525121" w:rsidRDefault="007F0A36" w:rsidP="00E04EF1">
      <w:r w:rsidRPr="00487E93">
        <w:t xml:space="preserve">Los ingresos por concepto de Licencias y Servicios de Tránsito presentaron un </w:t>
      </w:r>
      <w:r>
        <w:t>de</w:t>
      </w:r>
      <w:r w:rsidRPr="00487E93">
        <w:t xml:space="preserve">crecimiento real del </w:t>
      </w:r>
      <w:r>
        <w:t>15.3</w:t>
      </w:r>
      <w:r w:rsidRPr="00487E93">
        <w:t>%, lo anterior se deriva</w:t>
      </w:r>
      <w:r>
        <w:t xml:space="preserve"> principalmente al confinamiento, retraso de fecha del programa de </w:t>
      </w:r>
      <w:r w:rsidRPr="00CB178E">
        <w:rPr>
          <w:rFonts w:asciiTheme="minorHAnsi" w:hAnsiTheme="minorHAnsi"/>
        </w:rPr>
        <w:t xml:space="preserve">estímulo </w:t>
      </w:r>
      <w:r w:rsidR="00023DA5" w:rsidRPr="00CB178E">
        <w:rPr>
          <w:rFonts w:asciiTheme="minorHAnsi" w:hAnsiTheme="minorHAnsi"/>
        </w:rPr>
        <w:t>fiscales</w:t>
      </w:r>
      <w:r w:rsidR="00023DA5">
        <w:t xml:space="preserve"> y</w:t>
      </w:r>
      <w:r>
        <w:t xml:space="preserve"> prórrogas de la fecha </w:t>
      </w:r>
      <w:r w:rsidR="00023DA5">
        <w:t>límite</w:t>
      </w:r>
      <w:r>
        <w:t xml:space="preserve"> que se han venido estableciendo </w:t>
      </w:r>
      <w:r w:rsidRPr="00CB178E">
        <w:rPr>
          <w:rFonts w:asciiTheme="minorHAnsi" w:hAnsiTheme="minorHAnsi" w:cs="Arial"/>
          <w:color w:val="222222"/>
          <w:shd w:val="clear" w:color="auto" w:fill="FFFFFF"/>
        </w:rPr>
        <w:t xml:space="preserve">para </w:t>
      </w:r>
      <w:r w:rsidRPr="00DF4AFD">
        <w:rPr>
          <w:rFonts w:asciiTheme="minorHAnsi" w:hAnsiTheme="minorHAnsi" w:cs="Arial"/>
          <w:color w:val="222222"/>
          <w:shd w:val="clear" w:color="auto" w:fill="FFFFFF"/>
        </w:rPr>
        <w:t>vehículos y motocicletas de más de 11 años de antigüedad, con un </w:t>
      </w:r>
      <w:r w:rsidRPr="00DF4AFD">
        <w:rPr>
          <w:rFonts w:asciiTheme="minorHAnsi" w:hAnsiTheme="minorHAnsi" w:cs="Arial"/>
          <w:bCs/>
          <w:color w:val="222222"/>
          <w:shd w:val="clear" w:color="auto" w:fill="FFFFFF"/>
        </w:rPr>
        <w:t>descuento del 55</w:t>
      </w:r>
      <w:r w:rsidRPr="00DF4AFD">
        <w:rPr>
          <w:rFonts w:asciiTheme="minorHAnsi" w:hAnsiTheme="minorHAnsi" w:cs="Arial"/>
          <w:color w:val="222222"/>
          <w:shd w:val="clear" w:color="auto" w:fill="FFFFFF"/>
        </w:rPr>
        <w:t> y 33.33 por ciento en el </w:t>
      </w:r>
      <w:r w:rsidRPr="00DF4AFD">
        <w:rPr>
          <w:rFonts w:asciiTheme="minorHAnsi" w:hAnsiTheme="minorHAnsi" w:cs="Arial"/>
          <w:bCs/>
          <w:color w:val="222222"/>
          <w:shd w:val="clear" w:color="auto" w:fill="FFFFFF"/>
        </w:rPr>
        <w:t>pago</w:t>
      </w:r>
      <w:r w:rsidRPr="00DF4AFD">
        <w:rPr>
          <w:rFonts w:asciiTheme="minorHAnsi" w:hAnsiTheme="minorHAnsi" w:cs="Arial"/>
          <w:color w:val="222222"/>
          <w:shd w:val="clear" w:color="auto" w:fill="FFFFFF"/>
        </w:rPr>
        <w:t> del </w:t>
      </w:r>
      <w:r w:rsidRPr="00DF4AFD">
        <w:rPr>
          <w:rFonts w:asciiTheme="minorHAnsi" w:hAnsiTheme="minorHAnsi" w:cs="Arial"/>
          <w:bCs/>
          <w:color w:val="222222"/>
          <w:shd w:val="clear" w:color="auto" w:fill="FFFFFF"/>
        </w:rPr>
        <w:t xml:space="preserve">refrendo, la </w:t>
      </w:r>
      <w:r w:rsidRPr="00DF4AFD">
        <w:rPr>
          <w:rFonts w:asciiTheme="minorHAnsi" w:hAnsiTheme="minorHAnsi"/>
        </w:rPr>
        <w:t>disminución de Placas, Licencias, Calcomanías y Otros conceptos de</w:t>
      </w:r>
      <w:r w:rsidRPr="00DF4AFD">
        <w:t xml:space="preserve"> Servicios de Tránsito fue un 12.9%, 32.8%, 3.4% y 72.0% respectivamente en términos reales; </w:t>
      </w:r>
      <w:r>
        <w:t xml:space="preserve">se observa un número de pagos menor por </w:t>
      </w:r>
      <w:r w:rsidRPr="00DF4AFD">
        <w:t>concepto dePlacas</w:t>
      </w:r>
      <w:r w:rsidRPr="00ED5FFA">
        <w:t>por13 mil 537 y Licencias 57 mil 045al mismo periodo de 2019; asimismo en Calcomanías un incremento de pagos, se presentaron 433 mil 305 pagos contra 432 mil 603</w:t>
      </w:r>
      <w:r w:rsidRPr="00A75208">
        <w:t xml:space="preserve"> pagos a </w:t>
      </w:r>
      <w:r>
        <w:t>septiembre</w:t>
      </w:r>
      <w:r w:rsidRPr="00A75208">
        <w:t xml:space="preserve"> de 2019, </w:t>
      </w:r>
      <w:r>
        <w:t>702</w:t>
      </w:r>
      <w:r w:rsidRPr="00A75208">
        <w:t xml:space="preserve"> pagos m</w:t>
      </w:r>
      <w:r>
        <w:t>á</w:t>
      </w:r>
      <w:r w:rsidRPr="00A75208">
        <w:t xml:space="preserve">s con respecto al mismo periodo </w:t>
      </w:r>
      <w:r w:rsidRPr="00487E93">
        <w:t xml:space="preserve">anterior. </w:t>
      </w:r>
      <w:r w:rsidR="00E04EF1" w:rsidRPr="00487E93">
        <w:t>En Otros conceptos de Servicios de Tránsito presenta ingresos</w:t>
      </w:r>
      <w:r w:rsidR="00E04EF1">
        <w:t xml:space="preserve"> absolutos</w:t>
      </w:r>
      <w:r w:rsidR="00E04EF1" w:rsidRPr="00487E93">
        <w:t xml:space="preserve"> m</w:t>
      </w:r>
      <w:r w:rsidR="00E04EF1">
        <w:t>enores p</w:t>
      </w:r>
      <w:r w:rsidR="00E04EF1" w:rsidRPr="00487E93">
        <w:t xml:space="preserve">or </w:t>
      </w:r>
      <w:r w:rsidR="00E04EF1">
        <w:t>45.1</w:t>
      </w:r>
      <w:r w:rsidR="00E04EF1" w:rsidRPr="00487E93">
        <w:t xml:space="preserve"> millones de pesos compuesto principalmente </w:t>
      </w:r>
      <w:r w:rsidR="00E04EF1">
        <w:t>por el</w:t>
      </w:r>
      <w:r w:rsidR="00E04EF1" w:rsidRPr="00487E93">
        <w:t xml:space="preserve"> otorgamiento de concesiones y permisos derivados </w:t>
      </w:r>
      <w:r w:rsidR="00E04EF1">
        <w:t xml:space="preserve">de </w:t>
      </w:r>
      <w:r w:rsidR="00E04EF1" w:rsidRPr="00487E93">
        <w:t xml:space="preserve">la terminación de vigencia de 25 años, </w:t>
      </w:r>
      <w:r w:rsidR="00E04EF1">
        <w:t xml:space="preserve">de acuerdo con el </w:t>
      </w:r>
      <w:r w:rsidR="00E04EF1" w:rsidRPr="00487E93">
        <w:t>Artículo 200 de la Ley de Tránsito y Transportes del Estado de Sinaloa</w:t>
      </w:r>
      <w:r w:rsidR="00E04EF1">
        <w:t xml:space="preserve"> que finalizo en el año anterior</w:t>
      </w:r>
      <w:r w:rsidR="00E04EF1" w:rsidRPr="00487E93">
        <w:t>.</w:t>
      </w:r>
    </w:p>
    <w:p w:rsidR="00E04EF1" w:rsidRPr="00277685" w:rsidRDefault="00E04EF1" w:rsidP="00E04EF1">
      <w:r w:rsidRPr="001159B4">
        <w:t xml:space="preserve">Los ingresos por Registro Público de la Propiedad y el Comercio presentan un </w:t>
      </w:r>
      <w:r>
        <w:t>de</w:t>
      </w:r>
      <w:r w:rsidRPr="001159B4">
        <w:t xml:space="preserve">crecimiento de </w:t>
      </w:r>
      <w:r>
        <w:t>13.6</w:t>
      </w:r>
      <w:r w:rsidRPr="001159B4">
        <w:t>% en términos reales con relación a</w:t>
      </w:r>
      <w:r>
        <w:t>l periodo de</w:t>
      </w:r>
      <w:r w:rsidRPr="001159B4">
        <w:t xml:space="preserve"> 201</w:t>
      </w:r>
      <w:r>
        <w:t>9</w:t>
      </w:r>
      <w:r w:rsidRPr="001159B4">
        <w:t>.</w:t>
      </w:r>
    </w:p>
    <w:p w:rsidR="00E04EF1" w:rsidRPr="000B5B2E" w:rsidRDefault="00E04EF1" w:rsidP="00E04EF1">
      <w:pPr>
        <w:rPr>
          <w:color w:val="000000"/>
        </w:rPr>
      </w:pPr>
      <w:r w:rsidRPr="00310FC8">
        <w:t xml:space="preserve">Los Ingresos por Servicios de Recaudación a Terceros ascienden a </w:t>
      </w:r>
      <w:r>
        <w:t>79.5</w:t>
      </w:r>
      <w:r w:rsidRPr="00310FC8">
        <w:t xml:space="preserve"> millones de pesos </w:t>
      </w:r>
      <w:r w:rsidRPr="000B5B2E">
        <w:rPr>
          <w:color w:val="000000"/>
        </w:rPr>
        <w:t xml:space="preserve">mismos que registran un decrecimiento del </w:t>
      </w:r>
      <w:r>
        <w:rPr>
          <w:color w:val="000000"/>
        </w:rPr>
        <w:t>2.8</w:t>
      </w:r>
      <w:r w:rsidRPr="000B5B2E">
        <w:rPr>
          <w:color w:val="000000"/>
        </w:rPr>
        <w:t xml:space="preserve">% en términos reales al </w:t>
      </w:r>
      <w:r>
        <w:rPr>
          <w:color w:val="000000"/>
        </w:rPr>
        <w:t>Tercer</w:t>
      </w:r>
      <w:r w:rsidRPr="000B5B2E">
        <w:rPr>
          <w:color w:val="000000"/>
        </w:rPr>
        <w:t xml:space="preserve"> Trimestre de 20</w:t>
      </w:r>
      <w:r>
        <w:rPr>
          <w:color w:val="000000"/>
        </w:rPr>
        <w:t>20</w:t>
      </w:r>
      <w:r w:rsidRPr="000B5B2E">
        <w:rPr>
          <w:color w:val="000000"/>
        </w:rPr>
        <w:t xml:space="preserve"> con relación al mismo periodo de 201</w:t>
      </w:r>
      <w:r>
        <w:rPr>
          <w:color w:val="000000"/>
        </w:rPr>
        <w:t>9</w:t>
      </w:r>
      <w:r w:rsidRPr="000B5B2E">
        <w:rPr>
          <w:color w:val="000000"/>
        </w:rPr>
        <w:t>.</w:t>
      </w:r>
    </w:p>
    <w:p w:rsidR="00E04EF1" w:rsidRPr="00BB675C" w:rsidRDefault="00E04EF1" w:rsidP="00E04EF1">
      <w:r w:rsidRPr="00BB675C">
        <w:lastRenderedPageBreak/>
        <w:t>En lo que corresponde a los permisos y licencias de alco</w:t>
      </w:r>
      <w:r>
        <w:t>holes, este rubro registra un de</w:t>
      </w:r>
      <w:r w:rsidRPr="00BB675C">
        <w:t>crec</w:t>
      </w:r>
      <w:r>
        <w:t>imiento en términos reales 4.3 por ciento</w:t>
      </w:r>
      <w:r w:rsidRPr="003B2C7F">
        <w:t xml:space="preserve">. </w:t>
      </w:r>
    </w:p>
    <w:p w:rsidR="00E04EF1" w:rsidRPr="00525121" w:rsidRDefault="00E04EF1" w:rsidP="00E04EF1">
      <w:r w:rsidRPr="00BB675C">
        <w:t xml:space="preserve">Por lo que corresponde a los ingresos por la prestación de servicios y uso o goce de bienes del dominio público correspondientes a los Organismos descentralizados que conforman la Administración Pública Paraestatal observan al periodo </w:t>
      </w:r>
      <w:r>
        <w:t>233.4</w:t>
      </w:r>
      <w:r w:rsidRPr="00BB675C">
        <w:t xml:space="preserve"> millones de pesos,</w:t>
      </w:r>
      <w:r>
        <w:t xml:space="preserve"> contra 413.8 millones de pesos que representan 180.4 millones de pesos menos al mismo periodo del año anterior.</w:t>
      </w:r>
    </w:p>
    <w:p w:rsidR="00E04EF1" w:rsidRPr="00525121" w:rsidRDefault="00E04EF1" w:rsidP="00E04EF1">
      <w:r w:rsidRPr="00525121">
        <w:t xml:space="preserve">Los ingresos por el resto de </w:t>
      </w:r>
      <w:r>
        <w:t>Otros Derechos</w:t>
      </w:r>
      <w:r w:rsidRPr="00525121">
        <w:t>, que se integran por</w:t>
      </w:r>
      <w:r>
        <w:t xml:space="preserve"> los conceptos de Inspección y V</w:t>
      </w:r>
      <w:r w:rsidRPr="00525121">
        <w:t>igilancia de Obra Pública</w:t>
      </w:r>
      <w:r>
        <w:t>,</w:t>
      </w:r>
      <w:r w:rsidRPr="00525121">
        <w:t xml:space="preserve"> Derechos Ecológicos </w:t>
      </w:r>
      <w:r>
        <w:t>y p</w:t>
      </w:r>
      <w:r w:rsidRPr="00E41732">
        <w:t>or otros conceptos por los demás servicios públicos</w:t>
      </w:r>
      <w:r w:rsidRPr="00525121">
        <w:t>,</w:t>
      </w:r>
      <w:r>
        <w:t xml:space="preserve"> observan un decrecimiento real del 17.4</w:t>
      </w:r>
      <w:r w:rsidRPr="00525121">
        <w:t>%, con r</w:t>
      </w:r>
      <w:r>
        <w:t>especto al mismo periodo de 2019</w:t>
      </w:r>
      <w:r w:rsidRPr="00525121">
        <w:t xml:space="preserve">, representando ingresos </w:t>
      </w:r>
      <w:r>
        <w:t>menores</w:t>
      </w:r>
      <w:r w:rsidRPr="00525121">
        <w:t xml:space="preserve"> por </w:t>
      </w:r>
      <w:r>
        <w:t>8.2 millones de pesos</w:t>
      </w:r>
      <w:r w:rsidRPr="00525121">
        <w:t>.</w:t>
      </w:r>
    </w:p>
    <w:p w:rsidR="00E04EF1" w:rsidRPr="00525121" w:rsidRDefault="007F0A36" w:rsidP="00E04EF1">
      <w:r w:rsidRPr="00F009F2">
        <w:t>Los Accesorios,</w:t>
      </w:r>
      <w:r>
        <w:t xml:space="preserve"> </w:t>
      </w:r>
      <w:r w:rsidRPr="00525121">
        <w:t>que se integran por Recargos, Multas</w:t>
      </w:r>
      <w:r>
        <w:t>,</w:t>
      </w:r>
      <w:r w:rsidRPr="00525121">
        <w:t xml:space="preserve"> Honorarios y Gastos de Ejecución por el cobro de los Derechos que no fueron cubiertos por los contribuyentes</w:t>
      </w:r>
      <w:r>
        <w:t xml:space="preserve"> en tiempo y forma</w:t>
      </w:r>
      <w:r w:rsidRPr="00525121">
        <w:t xml:space="preserve">, presentan un </w:t>
      </w:r>
      <w:r>
        <w:t>de</w:t>
      </w:r>
      <w:r w:rsidRPr="00525121">
        <w:t xml:space="preserve">crecimiento real del </w:t>
      </w:r>
      <w:r>
        <w:t>13.5</w:t>
      </w:r>
      <w:r w:rsidRPr="00525121">
        <w:t xml:space="preserve">%, representando ingresos </w:t>
      </w:r>
      <w:r>
        <w:t>menores</w:t>
      </w:r>
      <w:r w:rsidRPr="00525121">
        <w:t xml:space="preserve"> por </w:t>
      </w:r>
      <w:r>
        <w:t>16.2</w:t>
      </w:r>
      <w:r w:rsidRPr="00525121">
        <w:t xml:space="preserve"> millones de pesos, </w:t>
      </w:r>
      <w:r>
        <w:t>con respecto al mismo periodo del año anterior</w:t>
      </w:r>
      <w:r w:rsidRPr="00525121">
        <w:t>.</w:t>
      </w:r>
    </w:p>
    <w:p w:rsidR="00507A47" w:rsidRDefault="00507A47" w:rsidP="00507A47">
      <w:pPr>
        <w:pStyle w:val="Ttulo3"/>
        <w:spacing w:after="240"/>
        <w:rPr>
          <w:rFonts w:asciiTheme="minorHAnsi" w:hAnsiTheme="minorHAnsi" w:cstheme="minorHAnsi"/>
        </w:rPr>
      </w:pPr>
      <w:bookmarkStart w:id="43" w:name="_Toc521935705"/>
      <w:bookmarkStart w:id="44" w:name="_Toc47647120"/>
      <w:bookmarkStart w:id="45" w:name="_Toc55491764"/>
      <w:r w:rsidRPr="00633F9D">
        <w:rPr>
          <w:rFonts w:asciiTheme="minorHAnsi" w:hAnsiTheme="minorHAnsi" w:cstheme="minorHAnsi"/>
        </w:rPr>
        <w:t>2.1.2.3. Productos</w:t>
      </w:r>
      <w:bookmarkEnd w:id="43"/>
      <w:bookmarkEnd w:id="44"/>
      <w:bookmarkEnd w:id="45"/>
    </w:p>
    <w:p w:rsidR="00E04EF1" w:rsidRPr="00525121" w:rsidRDefault="00E04EF1" w:rsidP="00E04EF1">
      <w:r>
        <w:t>Los Intereses Recibidos</w:t>
      </w:r>
      <w:r w:rsidRPr="00525121">
        <w:t xml:space="preserve"> obtenidos al </w:t>
      </w:r>
      <w:r>
        <w:t>Tercer Trimestre de 2020, fueron 45.6</w:t>
      </w:r>
      <w:r w:rsidRPr="00525121">
        <w:t xml:space="preserve"> mill</w:t>
      </w:r>
      <w:r>
        <w:t xml:space="preserve">ones de pesos, presentando un </w:t>
      </w:r>
      <w:r w:rsidRPr="00525121">
        <w:t xml:space="preserve">crecimiento del </w:t>
      </w:r>
      <w:r>
        <w:t>19.9</w:t>
      </w:r>
      <w:r w:rsidRPr="00525121">
        <w:t xml:space="preserve">% en términos reales respecto al mismo periodo del año anterior; en términos absolutos fueron </w:t>
      </w:r>
      <w:r>
        <w:t>9.0</w:t>
      </w:r>
      <w:r w:rsidRPr="00525121">
        <w:t xml:space="preserve"> millones de pesos </w:t>
      </w:r>
      <w:r>
        <w:t>más con respecto a los obtenidos en 2019</w:t>
      </w:r>
      <w:r w:rsidRPr="00525121">
        <w:t>.</w:t>
      </w:r>
    </w:p>
    <w:p w:rsidR="00E04EF1" w:rsidRDefault="00E04EF1" w:rsidP="00E04EF1">
      <w:pPr>
        <w:spacing w:after="0"/>
        <w:rPr>
          <w:noProof/>
          <w:szCs w:val="24"/>
          <w:lang w:eastAsia="es-MX"/>
        </w:rPr>
      </w:pPr>
    </w:p>
    <w:p w:rsidR="00E04EF1" w:rsidRDefault="00E04EF1" w:rsidP="00E04EF1">
      <w:pPr>
        <w:spacing w:after="0"/>
        <w:rPr>
          <w:noProof/>
          <w:szCs w:val="24"/>
          <w:lang w:eastAsia="es-MX"/>
        </w:rPr>
      </w:pPr>
      <w:r w:rsidRPr="00C44F8E">
        <w:rPr>
          <w:noProof/>
          <w:lang w:eastAsia="es-MX"/>
        </w:rPr>
        <w:drawing>
          <wp:inline distT="0" distB="0" distL="0" distR="0">
            <wp:extent cx="5581015" cy="1412240"/>
            <wp:effectExtent l="0" t="0" r="635" b="0"/>
            <wp:docPr id="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015" cy="1412240"/>
                    </a:xfrm>
                    <a:prstGeom prst="rect">
                      <a:avLst/>
                    </a:prstGeom>
                    <a:noFill/>
                    <a:ln>
                      <a:noFill/>
                    </a:ln>
                  </pic:spPr>
                </pic:pic>
              </a:graphicData>
            </a:graphic>
          </wp:inline>
        </w:drawing>
      </w:r>
    </w:p>
    <w:p w:rsidR="00E04EF1" w:rsidRDefault="00E04EF1" w:rsidP="00E04EF1"/>
    <w:p w:rsidR="00507A47" w:rsidRDefault="00507A47" w:rsidP="00507A47">
      <w:pPr>
        <w:pStyle w:val="Ttulo3"/>
        <w:rPr>
          <w:rFonts w:asciiTheme="minorHAnsi" w:hAnsiTheme="minorHAnsi" w:cstheme="minorHAnsi"/>
        </w:rPr>
      </w:pPr>
      <w:bookmarkStart w:id="46" w:name="_Toc521935706"/>
      <w:bookmarkStart w:id="47" w:name="_Toc47647121"/>
      <w:bookmarkStart w:id="48" w:name="_Toc55491765"/>
      <w:r w:rsidRPr="00633F9D">
        <w:rPr>
          <w:rFonts w:asciiTheme="minorHAnsi" w:hAnsiTheme="minorHAnsi" w:cstheme="minorHAnsi"/>
        </w:rPr>
        <w:t>2.1.2.4. Aprovechamientos</w:t>
      </w:r>
      <w:bookmarkEnd w:id="46"/>
      <w:bookmarkEnd w:id="47"/>
      <w:bookmarkEnd w:id="48"/>
    </w:p>
    <w:p w:rsidR="00E04EF1" w:rsidRDefault="00E04EF1" w:rsidP="00E04EF1">
      <w:r w:rsidRPr="00525121">
        <w:t xml:space="preserve">Los ingresos por Aprovechamientos al cierre del </w:t>
      </w:r>
      <w:r>
        <w:t>Tercer</w:t>
      </w:r>
      <w:r w:rsidRPr="00525121">
        <w:t xml:space="preserve"> Trimestre de 20</w:t>
      </w:r>
      <w:r>
        <w:t>20</w:t>
      </w:r>
      <w:r w:rsidRPr="00525121">
        <w:t xml:space="preserve"> fueron de </w:t>
      </w:r>
      <w:r>
        <w:t>66.6</w:t>
      </w:r>
      <w:r w:rsidRPr="00525121">
        <w:t xml:space="preserve"> millones de pesos</w:t>
      </w:r>
      <w:r>
        <w:t xml:space="preserve">, contra 28.0 millones de pesos al mismo periodo </w:t>
      </w:r>
      <w:r w:rsidR="007F0A36">
        <w:t>anterior, originando</w:t>
      </w:r>
      <w:r>
        <w:t xml:space="preserve"> un crecimiento del 128.8% en términos reales, lo anterior derivado a ingresos adicionales de 47.7 millones de pesos por concepto de Donaciones a favor del Estado respecto al mismo periodo del año anterior.</w:t>
      </w:r>
      <w:r w:rsidRPr="00E04EF1">
        <w:t xml:space="preserve"> </w:t>
      </w:r>
    </w:p>
    <w:p w:rsidR="00E04EF1" w:rsidRPr="00854B12" w:rsidRDefault="00E04EF1" w:rsidP="00E04EF1">
      <w:r w:rsidRPr="00C44F8E">
        <w:rPr>
          <w:noProof/>
          <w:lang w:eastAsia="es-MX"/>
        </w:rPr>
        <w:lastRenderedPageBreak/>
        <w:drawing>
          <wp:inline distT="0" distB="0" distL="0" distR="0">
            <wp:extent cx="5581015" cy="1953895"/>
            <wp:effectExtent l="0" t="0" r="635" b="825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1015" cy="1953895"/>
                    </a:xfrm>
                    <a:prstGeom prst="rect">
                      <a:avLst/>
                    </a:prstGeom>
                    <a:noFill/>
                    <a:ln>
                      <a:noFill/>
                    </a:ln>
                  </pic:spPr>
                </pic:pic>
              </a:graphicData>
            </a:graphic>
          </wp:inline>
        </w:drawing>
      </w:r>
    </w:p>
    <w:p w:rsidR="00E04EF1" w:rsidRDefault="00E04EF1" w:rsidP="00E04EF1"/>
    <w:p w:rsidR="00507A47" w:rsidRDefault="00507A47" w:rsidP="00507A47">
      <w:pPr>
        <w:pStyle w:val="Ttulo3"/>
      </w:pPr>
      <w:bookmarkStart w:id="49" w:name="_Toc47647122"/>
      <w:bookmarkStart w:id="50" w:name="_Toc55491766"/>
      <w:bookmarkStart w:id="51" w:name="_Toc521935707"/>
      <w:r w:rsidRPr="00664519">
        <w:t>2.1.2.5. Ingresos por Venta de Bienes, Prestación de Servicios y Otros Ingresos</w:t>
      </w:r>
      <w:bookmarkEnd w:id="49"/>
      <w:bookmarkEnd w:id="50"/>
    </w:p>
    <w:p w:rsidR="00E04EF1" w:rsidRPr="00E04EF1" w:rsidRDefault="00E04EF1" w:rsidP="00E04EF1"/>
    <w:p w:rsidR="00E04EF1" w:rsidRPr="00AF1813" w:rsidRDefault="00E04EF1" w:rsidP="00E04EF1">
      <w:r w:rsidRPr="00AF1813">
        <w:t>Las Venta de Bienes propiedad del Gobierno del Estado</w:t>
      </w:r>
      <w:r>
        <w:t xml:space="preserve"> y Prestación de Servicios integrada por</w:t>
      </w:r>
      <w:r w:rsidRPr="00AF1813">
        <w:t xml:space="preserve"> conceptos que tienen como fuente originaria la explotación directa o indirecta de bienes que forman parte del patrimonio</w:t>
      </w:r>
      <w:r>
        <w:t>,</w:t>
      </w:r>
      <w:r w:rsidRPr="00AF1813">
        <w:t xml:space="preserve"> presentan un crecimiento en términos reales de </w:t>
      </w:r>
      <w:r>
        <w:t>115.4</w:t>
      </w:r>
      <w:r w:rsidRPr="00AF1813">
        <w:t xml:space="preserve"> por ciento.</w:t>
      </w:r>
    </w:p>
    <w:p w:rsidR="00E04EF1" w:rsidRPr="00AF1813" w:rsidRDefault="00E04EF1" w:rsidP="00E04EF1">
      <w:r>
        <w:t>En Otros Ingresos que se integra</w:t>
      </w:r>
      <w:r w:rsidRPr="00AF1813">
        <w:t xml:space="preserve"> por el </w:t>
      </w:r>
      <w:r>
        <w:t>o</w:t>
      </w:r>
      <w:r w:rsidRPr="00AF1813">
        <w:t>torgamiento de Servicios de Se</w:t>
      </w:r>
      <w:r>
        <w:t>guridad estatal, presentan un de</w:t>
      </w:r>
      <w:r w:rsidRPr="00AF1813">
        <w:t xml:space="preserve">crecimiento de </w:t>
      </w:r>
      <w:r>
        <w:t>10.9</w:t>
      </w:r>
      <w:r w:rsidRPr="00AF1813">
        <w:t xml:space="preserve"> por ciento real. </w:t>
      </w:r>
    </w:p>
    <w:p w:rsidR="00E04EF1" w:rsidRDefault="00E04EF1" w:rsidP="00E04EF1">
      <w:r w:rsidRPr="00C44F8E">
        <w:rPr>
          <w:noProof/>
          <w:lang w:eastAsia="es-MX"/>
        </w:rPr>
        <w:drawing>
          <wp:inline distT="0" distB="0" distL="0" distR="0">
            <wp:extent cx="5581015" cy="1450975"/>
            <wp:effectExtent l="0" t="0" r="635" b="0"/>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015" cy="1450975"/>
                    </a:xfrm>
                    <a:prstGeom prst="rect">
                      <a:avLst/>
                    </a:prstGeom>
                    <a:noFill/>
                    <a:ln>
                      <a:noFill/>
                    </a:ln>
                  </pic:spPr>
                </pic:pic>
              </a:graphicData>
            </a:graphic>
          </wp:inline>
        </w:drawing>
      </w:r>
    </w:p>
    <w:p w:rsidR="00507A47" w:rsidRDefault="00507A47" w:rsidP="00507A47">
      <w:pPr>
        <w:pStyle w:val="Ttulo3"/>
        <w:rPr>
          <w:rFonts w:asciiTheme="minorHAnsi" w:hAnsiTheme="minorHAnsi" w:cstheme="minorHAnsi"/>
          <w:lang w:eastAsia="es-MX"/>
        </w:rPr>
      </w:pPr>
      <w:bookmarkStart w:id="52" w:name="_Toc47647123"/>
      <w:bookmarkStart w:id="53" w:name="_Toc55491767"/>
      <w:r w:rsidRPr="00CA0764">
        <w:rPr>
          <w:rFonts w:asciiTheme="minorHAnsi" w:hAnsiTheme="minorHAnsi" w:cstheme="minorHAnsi"/>
          <w:lang w:eastAsia="es-MX"/>
        </w:rPr>
        <w:t>2.1.3. Participaciones Federales</w:t>
      </w:r>
      <w:bookmarkEnd w:id="51"/>
      <w:bookmarkEnd w:id="52"/>
      <w:bookmarkEnd w:id="53"/>
    </w:p>
    <w:p w:rsidR="00E04EF1" w:rsidRDefault="007F0A36" w:rsidP="00E04EF1">
      <w:pPr>
        <w:rPr>
          <w:lang w:eastAsia="es-MX"/>
        </w:rPr>
      </w:pPr>
      <w:r w:rsidRPr="00525121">
        <w:rPr>
          <w:lang w:eastAsia="es-MX"/>
        </w:rPr>
        <w:t>Los ingresos al mes de</w:t>
      </w:r>
      <w:r>
        <w:rPr>
          <w:lang w:eastAsia="es-MX"/>
        </w:rPr>
        <w:t xml:space="preserve"> septiembre </w:t>
      </w:r>
      <w:r w:rsidRPr="00525121">
        <w:rPr>
          <w:lang w:eastAsia="es-MX"/>
        </w:rPr>
        <w:t>por participaciones federales e incent</w:t>
      </w:r>
      <w:r>
        <w:rPr>
          <w:lang w:eastAsia="es-MX"/>
        </w:rPr>
        <w:t>ivos económicos ascendieron a 17</w:t>
      </w:r>
      <w:r w:rsidRPr="00525121">
        <w:rPr>
          <w:lang w:eastAsia="es-MX"/>
        </w:rPr>
        <w:t xml:space="preserve"> mil </w:t>
      </w:r>
      <w:r>
        <w:rPr>
          <w:lang w:eastAsia="es-MX"/>
        </w:rPr>
        <w:t>239.6</w:t>
      </w:r>
      <w:r w:rsidRPr="00525121">
        <w:rPr>
          <w:lang w:eastAsia="es-MX"/>
        </w:rPr>
        <w:t xml:space="preserve"> millones de pesos, mientras en el mismo periodo</w:t>
      </w:r>
      <w:r>
        <w:rPr>
          <w:lang w:eastAsia="es-MX"/>
        </w:rPr>
        <w:t xml:space="preserve"> de 2019 este monto ascendió a 16</w:t>
      </w:r>
      <w:r w:rsidRPr="00525121">
        <w:rPr>
          <w:lang w:eastAsia="es-MX"/>
        </w:rPr>
        <w:t xml:space="preserve"> mil </w:t>
      </w:r>
      <w:r>
        <w:rPr>
          <w:lang w:eastAsia="es-MX"/>
        </w:rPr>
        <w:t>880.5</w:t>
      </w:r>
      <w:r w:rsidRPr="00525121">
        <w:rPr>
          <w:lang w:eastAsia="es-MX"/>
        </w:rPr>
        <w:t xml:space="preserve"> millones de pesos, presentando un </w:t>
      </w:r>
      <w:r>
        <w:rPr>
          <w:lang w:eastAsia="es-MX"/>
        </w:rPr>
        <w:t>de</w:t>
      </w:r>
      <w:r w:rsidRPr="00525121">
        <w:rPr>
          <w:lang w:eastAsia="es-MX"/>
        </w:rPr>
        <w:t xml:space="preserve">crecimiento real del </w:t>
      </w:r>
      <w:r>
        <w:rPr>
          <w:lang w:eastAsia="es-MX"/>
        </w:rPr>
        <w:t>1.8 por ciento</w:t>
      </w:r>
      <w:r w:rsidRPr="00525121">
        <w:rPr>
          <w:lang w:eastAsia="es-MX"/>
        </w:rPr>
        <w:t>.</w:t>
      </w:r>
    </w:p>
    <w:p w:rsidR="00E04EF1" w:rsidRDefault="00E04EF1" w:rsidP="00E04EF1">
      <w:pPr>
        <w:rPr>
          <w:lang w:eastAsia="es-MX"/>
        </w:rPr>
      </w:pPr>
      <w:r w:rsidRPr="00C44F8E">
        <w:rPr>
          <w:noProof/>
          <w:lang w:eastAsia="es-MX"/>
        </w:rPr>
        <w:lastRenderedPageBreak/>
        <w:drawing>
          <wp:inline distT="0" distB="0" distL="0" distR="0">
            <wp:extent cx="5581015" cy="5479415"/>
            <wp:effectExtent l="0" t="0" r="635" b="6985"/>
            <wp:docPr id="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015" cy="5479415"/>
                    </a:xfrm>
                    <a:prstGeom prst="rect">
                      <a:avLst/>
                    </a:prstGeom>
                    <a:noFill/>
                    <a:ln>
                      <a:noFill/>
                    </a:ln>
                  </pic:spPr>
                </pic:pic>
              </a:graphicData>
            </a:graphic>
          </wp:inline>
        </w:drawing>
      </w:r>
    </w:p>
    <w:p w:rsidR="00E04EF1" w:rsidRPr="00CD38DE" w:rsidRDefault="00E04EF1" w:rsidP="00E04EF1">
      <w:pPr>
        <w:rPr>
          <w:lang w:eastAsia="es-MX"/>
        </w:rPr>
      </w:pPr>
      <w:r w:rsidRPr="00CD38DE">
        <w:rPr>
          <w:lang w:eastAsia="es-MX"/>
        </w:rPr>
        <w:t>El Fondo General de Participaciones que le corresp</w:t>
      </w:r>
      <w:r>
        <w:rPr>
          <w:lang w:eastAsia="es-MX"/>
        </w:rPr>
        <w:t>ondió a la Entidad, ascendió a 11 mil 335.4</w:t>
      </w:r>
      <w:r w:rsidRPr="00CD38DE">
        <w:rPr>
          <w:lang w:eastAsia="es-MX"/>
        </w:rPr>
        <w:t xml:space="preserve"> millones de pesos, de acuerdo con la fórmula establecida en la Ley de Coordinación Fiscal (LCF), que comparados con las radicaciones del mismo concepto </w:t>
      </w:r>
      <w:r>
        <w:rPr>
          <w:lang w:eastAsia="es-MX"/>
        </w:rPr>
        <w:t>durante el mismo periodo de 2019</w:t>
      </w:r>
      <w:r w:rsidRPr="00CD38DE">
        <w:rPr>
          <w:lang w:eastAsia="es-MX"/>
        </w:rPr>
        <w:t xml:space="preserve"> observa un </w:t>
      </w:r>
      <w:r>
        <w:rPr>
          <w:lang w:eastAsia="es-MX"/>
        </w:rPr>
        <w:t>decrecimiento real del 6.1%</w:t>
      </w:r>
      <w:r w:rsidRPr="00CD38DE">
        <w:rPr>
          <w:lang w:eastAsia="es-MX"/>
        </w:rPr>
        <w:t xml:space="preserve">; </w:t>
      </w:r>
      <w:r>
        <w:rPr>
          <w:lang w:eastAsia="es-MX"/>
        </w:rPr>
        <w:t>representando ingresos menores por 267.6</w:t>
      </w:r>
      <w:r w:rsidRPr="00CD38DE">
        <w:rPr>
          <w:lang w:eastAsia="es-MX"/>
        </w:rPr>
        <w:t xml:space="preserve"> millones de pesos de este concepto con respecto a lo observado al mismo periodo</w:t>
      </w:r>
      <w:r>
        <w:rPr>
          <w:lang w:eastAsia="es-MX"/>
        </w:rPr>
        <w:t xml:space="preserve"> del año anterior</w:t>
      </w:r>
      <w:r w:rsidRPr="00CD38DE">
        <w:rPr>
          <w:lang w:eastAsia="es-MX"/>
        </w:rPr>
        <w:t>.</w:t>
      </w:r>
    </w:p>
    <w:p w:rsidR="00E04EF1" w:rsidRDefault="00E04EF1" w:rsidP="00E04EF1">
      <w:r w:rsidRPr="00CD38DE">
        <w:t>El Fondo de Fiscalización y Recaudación, la Secretaría de Hacienda y Crédito Público en cumplimiento a lo establecido en el artículo 4 de la LCF, distribuye este recurso de manera trimestral, sin embargo, de forma mensual otorga un anticipo por dicho concept</w:t>
      </w:r>
      <w:r>
        <w:t>o por lo que al mes de septiembre de</w:t>
      </w:r>
      <w:r w:rsidRPr="00CD38DE">
        <w:t xml:space="preserve"> 20</w:t>
      </w:r>
      <w:r>
        <w:t>20</w:t>
      </w:r>
      <w:r w:rsidRPr="00CD38DE">
        <w:t xml:space="preserve"> se recibió un total de </w:t>
      </w:r>
      <w:r>
        <w:t>Un mil 652.6</w:t>
      </w:r>
      <w:r w:rsidRPr="00CD38DE">
        <w:t xml:space="preserve"> millones de pesos</w:t>
      </w:r>
      <w:r w:rsidRPr="00D13170">
        <w:t xml:space="preserve">, el monto referido incluye 241.3 millones de pesos del cuarto ajuste trimestral 2019 recibido en el mes de enero, 576.0 millones de pesos del primer ajuste trimestral 2020 recibido en </w:t>
      </w:r>
      <w:r w:rsidRPr="00D13170">
        <w:lastRenderedPageBreak/>
        <w:t>abril, 2.5 millones de pesos del ajuste definitivo 2019 de mayo</w:t>
      </w:r>
      <w:r>
        <w:t xml:space="preserve"> y 35.0 millones de pesos del segundo ajuste trimestral en julio</w:t>
      </w:r>
      <w:r w:rsidRPr="00A947C7">
        <w:t>. El total de las radicaciones del Fondo de Fiscalización y Recaudación</w:t>
      </w:r>
      <w:r>
        <w:t xml:space="preserve"> del periodo analizado observan una disminución en términos reales del orden de 17.1%.</w:t>
      </w:r>
    </w:p>
    <w:p w:rsidR="00E04EF1" w:rsidRPr="00CD38DE" w:rsidRDefault="00E04EF1" w:rsidP="00E04EF1">
      <w:pPr>
        <w:rPr>
          <w:lang w:eastAsia="es-MX"/>
        </w:rPr>
      </w:pPr>
      <w:r w:rsidRPr="000C4F16">
        <w:rPr>
          <w:lang w:eastAsia="es-MX"/>
        </w:rPr>
        <w:t>El Fondo de Fomento Munic</w:t>
      </w:r>
      <w:r>
        <w:rPr>
          <w:lang w:eastAsia="es-MX"/>
        </w:rPr>
        <w:t>ipal</w:t>
      </w:r>
      <w:r w:rsidRPr="000C4F16">
        <w:rPr>
          <w:lang w:eastAsia="es-MX"/>
        </w:rPr>
        <w:t xml:space="preserve"> al </w:t>
      </w:r>
      <w:r>
        <w:rPr>
          <w:lang w:eastAsia="es-MX"/>
        </w:rPr>
        <w:t>Tercer</w:t>
      </w:r>
      <w:r w:rsidRPr="000C4F16">
        <w:rPr>
          <w:lang w:eastAsia="es-MX"/>
        </w:rPr>
        <w:t xml:space="preserve"> Trimestre de 20</w:t>
      </w:r>
      <w:r>
        <w:rPr>
          <w:lang w:eastAsia="es-MX"/>
        </w:rPr>
        <w:t>20</w:t>
      </w:r>
      <w:r w:rsidRPr="000C4F16">
        <w:rPr>
          <w:lang w:eastAsia="es-MX"/>
        </w:rPr>
        <w:t xml:space="preserve">, ascendió a </w:t>
      </w:r>
      <w:r>
        <w:rPr>
          <w:lang w:eastAsia="es-MX"/>
        </w:rPr>
        <w:t>496.5</w:t>
      </w:r>
      <w:r w:rsidRPr="000C4F16">
        <w:rPr>
          <w:lang w:eastAsia="es-MX"/>
        </w:rPr>
        <w:t>millones de pesos, que comparados</w:t>
      </w:r>
      <w:r w:rsidRPr="00CD38DE">
        <w:rPr>
          <w:lang w:eastAsia="es-MX"/>
        </w:rPr>
        <w:t xml:space="preserve"> con lo radicado el mismo period</w:t>
      </w:r>
      <w:r>
        <w:rPr>
          <w:lang w:eastAsia="es-MX"/>
        </w:rPr>
        <w:t>o del año anterior observa un de</w:t>
      </w:r>
      <w:r w:rsidRPr="00CD38DE">
        <w:rPr>
          <w:lang w:eastAsia="es-MX"/>
        </w:rPr>
        <w:t xml:space="preserve">crecimiento del </w:t>
      </w:r>
      <w:r>
        <w:rPr>
          <w:lang w:eastAsia="es-MX"/>
        </w:rPr>
        <w:t>27.9% real.</w:t>
      </w:r>
    </w:p>
    <w:p w:rsidR="00E04EF1" w:rsidRDefault="00E04EF1" w:rsidP="00E04EF1">
      <w:pPr>
        <w:rPr>
          <w:lang w:eastAsia="es-MX"/>
        </w:rPr>
      </w:pPr>
      <w:r w:rsidRPr="00525121">
        <w:rPr>
          <w:lang w:eastAsia="es-MX"/>
        </w:rPr>
        <w:t xml:space="preserve">Las participaciones que corresponden al Estado por concepto de Impuestos Especiales ascendieron a </w:t>
      </w:r>
      <w:r>
        <w:rPr>
          <w:lang w:eastAsia="es-MX"/>
        </w:rPr>
        <w:t>227.5</w:t>
      </w:r>
      <w:r w:rsidRPr="00525121">
        <w:rPr>
          <w:lang w:eastAsia="es-MX"/>
        </w:rPr>
        <w:t xml:space="preserve"> millones de pesos al mes de</w:t>
      </w:r>
      <w:r>
        <w:rPr>
          <w:lang w:eastAsia="es-MX"/>
        </w:rPr>
        <w:t xml:space="preserve"> septiembre de 2020</w:t>
      </w:r>
      <w:r w:rsidRPr="00525121">
        <w:rPr>
          <w:lang w:eastAsia="es-MX"/>
        </w:rPr>
        <w:t xml:space="preserve">, registrando un </w:t>
      </w:r>
      <w:r>
        <w:rPr>
          <w:lang w:eastAsia="es-MX"/>
        </w:rPr>
        <w:t>de</w:t>
      </w:r>
      <w:r w:rsidRPr="00525121">
        <w:rPr>
          <w:lang w:eastAsia="es-MX"/>
        </w:rPr>
        <w:t xml:space="preserve">crecimiento real de </w:t>
      </w:r>
      <w:r>
        <w:rPr>
          <w:lang w:eastAsia="es-MX"/>
        </w:rPr>
        <w:t>12.4</w:t>
      </w:r>
      <w:r w:rsidRPr="00525121">
        <w:rPr>
          <w:lang w:eastAsia="es-MX"/>
        </w:rPr>
        <w:t>% r</w:t>
      </w:r>
      <w:r>
        <w:rPr>
          <w:lang w:eastAsia="es-MX"/>
        </w:rPr>
        <w:t>especto al mismo periodo de 2019</w:t>
      </w:r>
      <w:r w:rsidRPr="00525121">
        <w:rPr>
          <w:lang w:eastAsia="es-MX"/>
        </w:rPr>
        <w:t xml:space="preserve">, representando </w:t>
      </w:r>
      <w:r>
        <w:rPr>
          <w:lang w:eastAsia="es-MX"/>
        </w:rPr>
        <w:t xml:space="preserve">menores </w:t>
      </w:r>
      <w:r w:rsidRPr="00525121">
        <w:rPr>
          <w:lang w:eastAsia="es-MX"/>
        </w:rPr>
        <w:t xml:space="preserve">ingresos por </w:t>
      </w:r>
      <w:r>
        <w:rPr>
          <w:lang w:eastAsia="es-MX"/>
        </w:rPr>
        <w:t>22.0</w:t>
      </w:r>
      <w:r w:rsidRPr="00525121">
        <w:rPr>
          <w:lang w:eastAsia="es-MX"/>
        </w:rPr>
        <w:t xml:space="preserve">millones </w:t>
      </w:r>
      <w:r>
        <w:rPr>
          <w:lang w:eastAsia="es-MX"/>
        </w:rPr>
        <w:t>al periodo analizado</w:t>
      </w:r>
      <w:r w:rsidRPr="00525121">
        <w:rPr>
          <w:lang w:eastAsia="es-MX"/>
        </w:rPr>
        <w:t>.</w:t>
      </w:r>
    </w:p>
    <w:p w:rsidR="00E04EF1" w:rsidRPr="00525121" w:rsidRDefault="00E04EF1" w:rsidP="00E04EF1">
      <w:pPr>
        <w:rPr>
          <w:lang w:eastAsia="es-MX"/>
        </w:rPr>
      </w:pPr>
      <w:r w:rsidRPr="00525121">
        <w:rPr>
          <w:lang w:eastAsia="es-MX"/>
        </w:rPr>
        <w:t xml:space="preserve">Los ingresos por las cuotas a la venta final de Gasolina y Diésel que establece la Ley de Impuestos Especial sobre Producción y Servicios ascienden a </w:t>
      </w:r>
      <w:r>
        <w:rPr>
          <w:lang w:eastAsia="es-MX"/>
        </w:rPr>
        <w:t>451.4</w:t>
      </w:r>
      <w:r w:rsidRPr="00525121">
        <w:rPr>
          <w:lang w:eastAsia="es-MX"/>
        </w:rPr>
        <w:t xml:space="preserve">millones de pesos, representa </w:t>
      </w:r>
      <w:r>
        <w:rPr>
          <w:lang w:eastAsia="es-MX"/>
        </w:rPr>
        <w:t>122.5</w:t>
      </w:r>
      <w:r w:rsidRPr="00525121">
        <w:rPr>
          <w:lang w:eastAsia="es-MX"/>
        </w:rPr>
        <w:t xml:space="preserve"> millones de pesos </w:t>
      </w:r>
      <w:r>
        <w:rPr>
          <w:lang w:eastAsia="es-MX"/>
        </w:rPr>
        <w:t>menos a los obtenidos en 2019, se observa una caída en términos reales de 24.4 por ciento.</w:t>
      </w:r>
    </w:p>
    <w:p w:rsidR="00E04EF1" w:rsidRPr="00525121" w:rsidRDefault="00E04EF1" w:rsidP="00E04EF1">
      <w:pPr>
        <w:rPr>
          <w:lang w:eastAsia="es-MX"/>
        </w:rPr>
      </w:pPr>
      <w:r w:rsidRPr="00525121">
        <w:rPr>
          <w:lang w:eastAsia="es-MX"/>
        </w:rPr>
        <w:t>Los ingresos de la Compensación de ISAN</w:t>
      </w:r>
      <w:r w:rsidRPr="001077A3">
        <w:rPr>
          <w:lang w:eastAsia="es-MX"/>
        </w:rPr>
        <w:t>, se derivan del decreto del 22 Agosto de 2005 publicado en el Diario Oficial de la Federación, donde se establece la exoneración del pago de esta contribución a los vehículos económicos que va del 50% al 100% en el pago de esta contribución, y como una forma de no dañar a las finanzas públicas estatales en el artículo 14 de la Ley del Impuesto sobre Automóviles Nuevos, señala  una compensación a las Entidades Federativas igual a lo que dejaron de recaudar por dicho decreto actualizada de forma anual en los términos del Índice Nacional de Precios al Consumidor, a la</w:t>
      </w:r>
      <w:r w:rsidRPr="00525121">
        <w:rPr>
          <w:lang w:eastAsia="es-MX"/>
        </w:rPr>
        <w:t xml:space="preserve"> fecha Sinaloa observa radicaciones por un monto de  </w:t>
      </w:r>
      <w:r>
        <w:rPr>
          <w:lang w:eastAsia="es-MX"/>
        </w:rPr>
        <w:t>55.9</w:t>
      </w:r>
      <w:r w:rsidRPr="00525121">
        <w:rPr>
          <w:lang w:eastAsia="es-MX"/>
        </w:rPr>
        <w:t xml:space="preserve"> mill</w:t>
      </w:r>
      <w:r>
        <w:rPr>
          <w:lang w:eastAsia="es-MX"/>
        </w:rPr>
        <w:t xml:space="preserve">ones de pesos por este concepto, </w:t>
      </w:r>
      <w:r>
        <w:t>observa una ligera disminución en términos reales del orden de 0.1 por ciento.</w:t>
      </w:r>
    </w:p>
    <w:p w:rsidR="00E04EF1" w:rsidRPr="00525121" w:rsidRDefault="00E04EF1" w:rsidP="00E04EF1">
      <w:pPr>
        <w:rPr>
          <w:lang w:eastAsia="es-MX"/>
        </w:rPr>
      </w:pPr>
      <w:r w:rsidRPr="00525121">
        <w:rPr>
          <w:lang w:eastAsia="es-MX"/>
        </w:rPr>
        <w:t xml:space="preserve">En lo que se refiere a los Ingresos por concepto del Fondo de Compensación de Repecos e Intermedios a la fecha se han compensado </w:t>
      </w:r>
      <w:r>
        <w:rPr>
          <w:lang w:eastAsia="es-MX"/>
        </w:rPr>
        <w:t>61.2</w:t>
      </w:r>
      <w:r w:rsidRPr="00525121">
        <w:rPr>
          <w:lang w:eastAsia="es-MX"/>
        </w:rPr>
        <w:t xml:space="preserve"> millones de pesos.</w:t>
      </w:r>
    </w:p>
    <w:p w:rsidR="00E04EF1" w:rsidRPr="00525121" w:rsidRDefault="00E04EF1" w:rsidP="00E04EF1">
      <w:pPr>
        <w:rPr>
          <w:lang w:eastAsia="es-MX"/>
        </w:rPr>
      </w:pPr>
      <w:r w:rsidRPr="00525121">
        <w:rPr>
          <w:lang w:eastAsia="es-MX"/>
        </w:rPr>
        <w:t xml:space="preserve">En lo que se refiere a los Ingresos por el </w:t>
      </w:r>
      <w:r w:rsidRPr="00587549">
        <w:rPr>
          <w:lang w:eastAsia="es-MX"/>
        </w:rPr>
        <w:t>Régimen de Incorporación Fiscal</w:t>
      </w:r>
      <w:r w:rsidRPr="00525121">
        <w:rPr>
          <w:lang w:eastAsia="es-MX"/>
        </w:rPr>
        <w:t xml:space="preserve"> se observan ingresos por </w:t>
      </w:r>
      <w:r>
        <w:rPr>
          <w:lang w:eastAsia="es-MX"/>
        </w:rPr>
        <w:t xml:space="preserve">15.8 millones de pesos, </w:t>
      </w:r>
      <w:r w:rsidRPr="00525121">
        <w:rPr>
          <w:lang w:eastAsia="es-MX"/>
        </w:rPr>
        <w:t xml:space="preserve">presentando </w:t>
      </w:r>
      <w:r>
        <w:rPr>
          <w:lang w:eastAsia="es-MX"/>
        </w:rPr>
        <w:t xml:space="preserve">una disminución de ingresos </w:t>
      </w:r>
      <w:r w:rsidRPr="00525121">
        <w:rPr>
          <w:lang w:eastAsia="es-MX"/>
        </w:rPr>
        <w:t xml:space="preserve">por </w:t>
      </w:r>
      <w:r>
        <w:rPr>
          <w:lang w:eastAsia="es-MX"/>
        </w:rPr>
        <w:t>103.0</w:t>
      </w:r>
      <w:r w:rsidRPr="00525121">
        <w:rPr>
          <w:lang w:eastAsia="es-MX"/>
        </w:rPr>
        <w:t xml:space="preserve"> millones de pesos con r</w:t>
      </w:r>
      <w:r>
        <w:rPr>
          <w:lang w:eastAsia="es-MX"/>
        </w:rPr>
        <w:t>especto al mismo periodo de 2019</w:t>
      </w:r>
      <w:r w:rsidRPr="00525121">
        <w:rPr>
          <w:lang w:eastAsia="es-MX"/>
        </w:rPr>
        <w:t>.</w:t>
      </w:r>
    </w:p>
    <w:p w:rsidR="00E04EF1" w:rsidRDefault="00E04EF1" w:rsidP="00E04EF1">
      <w:pPr>
        <w:rPr>
          <w:lang w:eastAsia="es-MX"/>
        </w:rPr>
      </w:pPr>
      <w:r w:rsidRPr="00525121">
        <w:rPr>
          <w:lang w:eastAsia="es-MX"/>
        </w:rPr>
        <w:t xml:space="preserve">En el presente Ejercicio Fiscal, los ingresos derivados del artículo 3-B de la Ley de Coordinación Fiscal, correspondiente al incentivo económico derivado del pago efectivamente realizado del ISR, Personal subordinado, la Entidad observa ingresos por un monto de </w:t>
      </w:r>
      <w:r>
        <w:rPr>
          <w:lang w:eastAsia="es-MX"/>
        </w:rPr>
        <w:t>Un mil 038.7</w:t>
      </w:r>
      <w:r w:rsidRPr="00525121">
        <w:rPr>
          <w:lang w:eastAsia="es-MX"/>
        </w:rPr>
        <w:t xml:space="preserve"> millones de pesos, es importante señalar que, de este monto recaudado, le corresponden a</w:t>
      </w:r>
      <w:r>
        <w:rPr>
          <w:lang w:eastAsia="es-MX"/>
        </w:rPr>
        <w:t xml:space="preserve"> </w:t>
      </w:r>
      <w:r w:rsidRPr="00525121">
        <w:rPr>
          <w:lang w:eastAsia="es-MX"/>
        </w:rPr>
        <w:t>l</w:t>
      </w:r>
      <w:r>
        <w:rPr>
          <w:lang w:eastAsia="es-MX"/>
        </w:rPr>
        <w:t>os</w:t>
      </w:r>
      <w:r w:rsidRPr="00525121">
        <w:rPr>
          <w:lang w:eastAsia="es-MX"/>
        </w:rPr>
        <w:t xml:space="preserve"> municipio</w:t>
      </w:r>
      <w:r>
        <w:rPr>
          <w:lang w:eastAsia="es-MX"/>
        </w:rPr>
        <w:t>s</w:t>
      </w:r>
      <w:r w:rsidRPr="00525121">
        <w:rPr>
          <w:lang w:eastAsia="es-MX"/>
        </w:rPr>
        <w:t xml:space="preserve"> y a sus Entes un monto por </w:t>
      </w:r>
      <w:r>
        <w:rPr>
          <w:lang w:eastAsia="es-MX"/>
        </w:rPr>
        <w:t>204.2</w:t>
      </w:r>
      <w:r w:rsidRPr="00525121">
        <w:rPr>
          <w:lang w:eastAsia="es-MX"/>
        </w:rPr>
        <w:t xml:space="preserve"> millones de pesos y el resto </w:t>
      </w:r>
      <w:r>
        <w:rPr>
          <w:lang w:eastAsia="es-MX"/>
        </w:rPr>
        <w:t>834.5 millones de pesos</w:t>
      </w:r>
      <w:r w:rsidRPr="00525121">
        <w:rPr>
          <w:lang w:eastAsia="es-MX"/>
        </w:rPr>
        <w:t xml:space="preserve"> al Estado.</w:t>
      </w:r>
    </w:p>
    <w:p w:rsidR="00E04EF1" w:rsidRPr="00525121" w:rsidRDefault="00E04EF1" w:rsidP="00E04EF1">
      <w:pPr>
        <w:rPr>
          <w:lang w:eastAsia="es-MX"/>
        </w:rPr>
      </w:pPr>
      <w:r>
        <w:rPr>
          <w:lang w:eastAsia="es-MX"/>
        </w:rPr>
        <w:lastRenderedPageBreak/>
        <w:t>En lo que corresponde al</w:t>
      </w:r>
      <w:r w:rsidRPr="00525121">
        <w:rPr>
          <w:lang w:eastAsia="es-MX"/>
        </w:rPr>
        <w:t xml:space="preserve"> concepto de </w:t>
      </w:r>
      <w:r>
        <w:rPr>
          <w:lang w:eastAsia="es-MX"/>
        </w:rPr>
        <w:t xml:space="preserve">ISR Enajenación Bienes inmuebles, dichas operaciones realizadas en la Entidad causo </w:t>
      </w:r>
      <w:r w:rsidRPr="00525121">
        <w:rPr>
          <w:lang w:eastAsia="es-MX"/>
        </w:rPr>
        <w:t>a</w:t>
      </w:r>
      <w:r>
        <w:rPr>
          <w:lang w:eastAsia="es-MX"/>
        </w:rPr>
        <w:t>l periodo ingresos por40.1</w:t>
      </w:r>
      <w:r w:rsidRPr="00525121">
        <w:rPr>
          <w:lang w:eastAsia="es-MX"/>
        </w:rPr>
        <w:t xml:space="preserve"> millones de pesos</w:t>
      </w:r>
      <w:r>
        <w:rPr>
          <w:lang w:eastAsia="es-MX"/>
        </w:rPr>
        <w:t>.</w:t>
      </w:r>
    </w:p>
    <w:p w:rsidR="00E04EF1" w:rsidRDefault="00E04EF1" w:rsidP="00E04EF1">
      <w:pPr>
        <w:rPr>
          <w:lang w:eastAsia="es-MX"/>
        </w:rPr>
      </w:pPr>
      <w:r>
        <w:t xml:space="preserve">En relación a lo establecido en los artículos 19, fracción IV, inciso a), 21, fracción II, párrafo segundo y 21 Bis de la Ley Federal de Presupuesto y Responsabilidad Hacendaria, respecto a los recursos del Fideicomiso Fondo de Estabilización de los Ingresos de las Entidades Federativas (FEIEF), destinados a compensar la disminución en los fondos de participaciones en ingresos federales vinculados con la Recaudación Federal Participable (RFP), a razón de lo estimado en la Ley de Ingresos de la Federación durante el presente ejercicio fiscal, </w:t>
      </w:r>
      <w:bookmarkStart w:id="54" w:name="_Hlk38474579"/>
      <w:r>
        <w:t xml:space="preserve">se obtuvieron al Tercer Trimestre un total de </w:t>
      </w:r>
      <w:r w:rsidRPr="00A53AB5">
        <w:t>Un mil 284.4 millones de pesos por concepto de FEIEF</w:t>
      </w:r>
      <w:r>
        <w:t>,</w:t>
      </w:r>
      <w:r w:rsidRPr="00A53AB5">
        <w:t xml:space="preserve"> perteneciendo de estos 994.2 millones de pesos al Fondo General de Participaciones, 57.3 millones de pesos al Fondo de Fomento Municipal y 232.9 millones de pesos al Fondo de Fiscalización y Recaudación</w:t>
      </w:r>
      <w:bookmarkEnd w:id="54"/>
      <w:r>
        <w:t>; así mismo, es importante mencionar que en estos montos incluyen las compensaciones provisionales mensuales de los últimos dos meses del Acuerdo 82/2020 con fecha 7 de agosto de 2020 en el DOF, por el que se modificaron las Reglas de Operación de este Fondo.</w:t>
      </w:r>
    </w:p>
    <w:p w:rsidR="00E04EF1" w:rsidRPr="00525121" w:rsidRDefault="00E04EF1" w:rsidP="00E04EF1">
      <w:pPr>
        <w:rPr>
          <w:lang w:eastAsia="es-MX"/>
        </w:rPr>
      </w:pPr>
      <w:r w:rsidRPr="00D223F8">
        <w:rPr>
          <w:lang w:eastAsia="es-MX"/>
        </w:rPr>
        <w:t>Los ingresos convenidos con la Federación, recaudados por el Estado en apego a Incentivos Derivados de la Colaboración Administrativa en Materia Fiscal Federal,</w:t>
      </w:r>
      <w:r w:rsidRPr="00525121">
        <w:rPr>
          <w:lang w:eastAsia="es-MX"/>
        </w:rPr>
        <w:t xml:space="preserve"> en el </w:t>
      </w:r>
      <w:r>
        <w:rPr>
          <w:lang w:eastAsia="es-MX"/>
        </w:rPr>
        <w:t xml:space="preserve">Tercer </w:t>
      </w:r>
      <w:r w:rsidRPr="00525121">
        <w:rPr>
          <w:lang w:eastAsia="es-MX"/>
        </w:rPr>
        <w:t xml:space="preserve">Trimestre de este año ascendieron a </w:t>
      </w:r>
      <w:r>
        <w:rPr>
          <w:lang w:eastAsia="es-MX"/>
        </w:rPr>
        <w:t>580.0</w:t>
      </w:r>
      <w:r w:rsidRPr="00525121">
        <w:rPr>
          <w:lang w:eastAsia="es-MX"/>
        </w:rPr>
        <w:t>millones de pesos, importe que representa ingresos</w:t>
      </w:r>
      <w:r>
        <w:rPr>
          <w:lang w:eastAsia="es-MX"/>
        </w:rPr>
        <w:t xml:space="preserve"> menores p</w:t>
      </w:r>
      <w:r w:rsidRPr="00525121">
        <w:rPr>
          <w:lang w:eastAsia="es-MX"/>
        </w:rPr>
        <w:t xml:space="preserve">or </w:t>
      </w:r>
      <w:r>
        <w:rPr>
          <w:lang w:eastAsia="es-MX"/>
        </w:rPr>
        <w:t>226.0</w:t>
      </w:r>
      <w:r w:rsidRPr="00525121">
        <w:rPr>
          <w:lang w:eastAsia="es-MX"/>
        </w:rPr>
        <w:t xml:space="preserve"> millones de pesos con respecto a la recaudación en el mismo periodo del año anterior, representando un </w:t>
      </w:r>
      <w:r>
        <w:rPr>
          <w:lang w:eastAsia="es-MX"/>
        </w:rPr>
        <w:t>de</w:t>
      </w:r>
      <w:r w:rsidRPr="00525121">
        <w:rPr>
          <w:lang w:eastAsia="es-MX"/>
        </w:rPr>
        <w:t xml:space="preserve">crecimiento real de </w:t>
      </w:r>
      <w:r>
        <w:rPr>
          <w:lang w:eastAsia="es-MX"/>
        </w:rPr>
        <w:t>30.8 por ciento</w:t>
      </w:r>
      <w:r w:rsidRPr="00525121">
        <w:rPr>
          <w:lang w:eastAsia="es-MX"/>
        </w:rPr>
        <w:t>.</w:t>
      </w:r>
    </w:p>
    <w:p w:rsidR="00E04EF1" w:rsidRPr="00D643D1" w:rsidRDefault="00E04EF1" w:rsidP="00E04EF1">
      <w:pPr>
        <w:rPr>
          <w:lang w:eastAsia="es-MX"/>
        </w:rPr>
      </w:pPr>
      <w:r w:rsidRPr="000D62FE">
        <w:rPr>
          <w:lang w:eastAsia="es-MX"/>
        </w:rPr>
        <w:t>Por Impuesto a las gasolinas al mes de</w:t>
      </w:r>
      <w:r>
        <w:rPr>
          <w:lang w:eastAsia="es-MX"/>
        </w:rPr>
        <w:t xml:space="preserve"> septiembre </w:t>
      </w:r>
      <w:r w:rsidRPr="000D62FE">
        <w:rPr>
          <w:lang w:eastAsia="es-MX"/>
        </w:rPr>
        <w:t xml:space="preserve">se observaron </w:t>
      </w:r>
      <w:r>
        <w:rPr>
          <w:lang w:eastAsia="es-MX"/>
        </w:rPr>
        <w:t>0.2 millones de pesos</w:t>
      </w:r>
      <w:r w:rsidRPr="000D62FE">
        <w:rPr>
          <w:lang w:eastAsia="es-MX"/>
        </w:rPr>
        <w:t>; es importante mencionar que a partir de 2014 se reformó la Ley de Coordinación Fiscal y la recaudación de las cuotas de Gasolina y Diésel las retendrá Pemex al momento que realice la venta a los distribuidores y será este a través de la Tesorería de la Federación quien radicará a las Entidades los importes correspondientes a las 9/11 partes, del concepto referido.</w:t>
      </w:r>
    </w:p>
    <w:p w:rsidR="00E04EF1" w:rsidRPr="00525121" w:rsidRDefault="00E04EF1" w:rsidP="00E04EF1">
      <w:pPr>
        <w:rPr>
          <w:lang w:eastAsia="es-MX"/>
        </w:rPr>
      </w:pPr>
      <w:r w:rsidRPr="00525121">
        <w:rPr>
          <w:lang w:eastAsia="es-MX"/>
        </w:rPr>
        <w:t xml:space="preserve">En lo que se refiere a la Tenencia Federal, </w:t>
      </w:r>
      <w:r w:rsidRPr="000D62FE">
        <w:rPr>
          <w:lang w:eastAsia="es-MX"/>
        </w:rPr>
        <w:t>este concepto registra</w:t>
      </w:r>
      <w:r>
        <w:rPr>
          <w:lang w:eastAsia="es-MX"/>
        </w:rPr>
        <w:t>19.6</w:t>
      </w:r>
      <w:r w:rsidRPr="000D62FE">
        <w:rPr>
          <w:lang w:eastAsia="es-MX"/>
        </w:rPr>
        <w:t>mil pesos al mes de</w:t>
      </w:r>
      <w:r>
        <w:rPr>
          <w:lang w:eastAsia="es-MX"/>
        </w:rPr>
        <w:t xml:space="preserve"> septiembre de</w:t>
      </w:r>
      <w:r w:rsidRPr="000D62FE">
        <w:rPr>
          <w:lang w:eastAsia="es-MX"/>
        </w:rPr>
        <w:t xml:space="preserve"> 20</w:t>
      </w:r>
      <w:r>
        <w:rPr>
          <w:lang w:eastAsia="es-MX"/>
        </w:rPr>
        <w:t>20</w:t>
      </w:r>
      <w:r w:rsidRPr="000D62FE">
        <w:rPr>
          <w:lang w:eastAsia="es-MX"/>
        </w:rPr>
        <w:t>, mientras que al mismo periodo de 201</w:t>
      </w:r>
      <w:r>
        <w:rPr>
          <w:lang w:eastAsia="es-MX"/>
        </w:rPr>
        <w:t>9</w:t>
      </w:r>
      <w:r w:rsidRPr="000D62FE">
        <w:rPr>
          <w:lang w:eastAsia="es-MX"/>
        </w:rPr>
        <w:t xml:space="preserve"> el monto recaudado fue de </w:t>
      </w:r>
      <w:r>
        <w:rPr>
          <w:lang w:eastAsia="es-MX"/>
        </w:rPr>
        <w:t>54.5</w:t>
      </w:r>
      <w:r w:rsidRPr="000D62FE">
        <w:rPr>
          <w:lang w:eastAsia="es-MX"/>
        </w:rPr>
        <w:t xml:space="preserve"> mil pesos, representando un </w:t>
      </w:r>
      <w:r>
        <w:rPr>
          <w:lang w:eastAsia="es-MX"/>
        </w:rPr>
        <w:t>de</w:t>
      </w:r>
      <w:r w:rsidRPr="000D62FE">
        <w:rPr>
          <w:lang w:eastAsia="es-MX"/>
        </w:rPr>
        <w:t xml:space="preserve">crecimiento real de </w:t>
      </w:r>
      <w:r>
        <w:rPr>
          <w:lang w:eastAsia="es-MX"/>
        </w:rPr>
        <w:t>65.4</w:t>
      </w:r>
      <w:r w:rsidRPr="000D62FE">
        <w:rPr>
          <w:lang w:eastAsia="es-MX"/>
        </w:rPr>
        <w:t xml:space="preserve"> por ciento,</w:t>
      </w:r>
      <w:r w:rsidRPr="00525121">
        <w:rPr>
          <w:lang w:eastAsia="es-MX"/>
        </w:rPr>
        <w:t xml:space="preserve"> lo anterior se deriva por el cambio de este rubro de federal a estatal a partir del 2011; por lo que la recaudación que se observa son derivados de los rezagos que aún se presentan.</w:t>
      </w:r>
    </w:p>
    <w:p w:rsidR="00E04EF1" w:rsidRPr="00525121" w:rsidRDefault="00E04EF1" w:rsidP="00E04EF1">
      <w:pPr>
        <w:rPr>
          <w:lang w:eastAsia="es-MX"/>
        </w:rPr>
      </w:pPr>
      <w:r w:rsidRPr="00525121">
        <w:rPr>
          <w:lang w:eastAsia="es-MX"/>
        </w:rPr>
        <w:t xml:space="preserve">Por lo que corresponde al Impuesto Sobre Automóviles Nuevos, al </w:t>
      </w:r>
      <w:r>
        <w:rPr>
          <w:lang w:eastAsia="es-MX"/>
        </w:rPr>
        <w:t>Tercer Trimestre de 2020</w:t>
      </w:r>
      <w:r w:rsidRPr="00525121">
        <w:rPr>
          <w:lang w:eastAsia="es-MX"/>
        </w:rPr>
        <w:t xml:space="preserve"> registra una recaudación de </w:t>
      </w:r>
      <w:r>
        <w:rPr>
          <w:lang w:eastAsia="es-MX"/>
        </w:rPr>
        <w:t>234.8</w:t>
      </w:r>
      <w:r w:rsidRPr="00525121">
        <w:rPr>
          <w:lang w:eastAsia="es-MX"/>
        </w:rPr>
        <w:t>millones de pesos, observando una variación</w:t>
      </w:r>
      <w:r>
        <w:rPr>
          <w:lang w:eastAsia="es-MX"/>
        </w:rPr>
        <w:t xml:space="preserve"> real negativa</w:t>
      </w:r>
      <w:r w:rsidRPr="00525121">
        <w:rPr>
          <w:lang w:eastAsia="es-MX"/>
        </w:rPr>
        <w:t xml:space="preserve"> de </w:t>
      </w:r>
      <w:r>
        <w:rPr>
          <w:lang w:eastAsia="es-MX"/>
        </w:rPr>
        <w:t>22.4</w:t>
      </w:r>
      <w:r w:rsidRPr="00525121">
        <w:rPr>
          <w:lang w:eastAsia="es-MX"/>
        </w:rPr>
        <w:t>%, con respecto a lo regist</w:t>
      </w:r>
      <w:r>
        <w:rPr>
          <w:lang w:eastAsia="es-MX"/>
        </w:rPr>
        <w:t>rado en el mismo periodo de 2019</w:t>
      </w:r>
      <w:r w:rsidRPr="00525121">
        <w:rPr>
          <w:lang w:eastAsia="es-MX"/>
        </w:rPr>
        <w:t xml:space="preserve">, </w:t>
      </w:r>
      <w:r>
        <w:rPr>
          <w:lang w:eastAsia="es-MX"/>
        </w:rPr>
        <w:t xml:space="preserve">se observan menores </w:t>
      </w:r>
      <w:r w:rsidRPr="00525121">
        <w:rPr>
          <w:lang w:eastAsia="es-MX"/>
        </w:rPr>
        <w:t xml:space="preserve">ingresos por el orden de </w:t>
      </w:r>
      <w:r>
        <w:rPr>
          <w:lang w:eastAsia="es-MX"/>
        </w:rPr>
        <w:t>56.3</w:t>
      </w:r>
      <w:r w:rsidRPr="00525121">
        <w:rPr>
          <w:lang w:eastAsia="es-MX"/>
        </w:rPr>
        <w:t xml:space="preserve">millones </w:t>
      </w:r>
      <w:r>
        <w:rPr>
          <w:lang w:eastAsia="es-MX"/>
        </w:rPr>
        <w:t>de pesos a los obtenidos en el mismo periodo</w:t>
      </w:r>
      <w:r w:rsidRPr="00525121">
        <w:rPr>
          <w:lang w:eastAsia="es-MX"/>
        </w:rPr>
        <w:t>.</w:t>
      </w:r>
    </w:p>
    <w:p w:rsidR="00E04EF1" w:rsidRPr="00515AE2" w:rsidRDefault="00E04EF1" w:rsidP="00E04EF1">
      <w:pPr>
        <w:rPr>
          <w:lang w:eastAsia="es-MX"/>
        </w:rPr>
      </w:pPr>
      <w:r w:rsidRPr="00D223F8">
        <w:rPr>
          <w:lang w:eastAsia="es-MX"/>
        </w:rPr>
        <w:lastRenderedPageBreak/>
        <w:t>Los ingresos por Fiscalización derivados de Incentivos de Colaboración Administrativa en Materia Fiscal Federal,</w:t>
      </w:r>
      <w:r w:rsidRPr="00515AE2">
        <w:rPr>
          <w:lang w:eastAsia="es-MX"/>
        </w:rPr>
        <w:t xml:space="preserve"> al mes de</w:t>
      </w:r>
      <w:r>
        <w:rPr>
          <w:lang w:eastAsia="es-MX"/>
        </w:rPr>
        <w:t xml:space="preserve"> septiembre de</w:t>
      </w:r>
      <w:r w:rsidRPr="00515AE2">
        <w:rPr>
          <w:lang w:eastAsia="es-MX"/>
        </w:rPr>
        <w:t xml:space="preserve"> 20</w:t>
      </w:r>
      <w:r>
        <w:rPr>
          <w:lang w:eastAsia="es-MX"/>
        </w:rPr>
        <w:t>20,</w:t>
      </w:r>
      <w:r w:rsidRPr="00515AE2">
        <w:rPr>
          <w:lang w:eastAsia="es-MX"/>
        </w:rPr>
        <w:t xml:space="preserve"> asciende</w:t>
      </w:r>
      <w:r>
        <w:rPr>
          <w:lang w:eastAsia="es-MX"/>
        </w:rPr>
        <w:t>n</w:t>
      </w:r>
      <w:r w:rsidRPr="00515AE2">
        <w:rPr>
          <w:lang w:eastAsia="es-MX"/>
        </w:rPr>
        <w:t xml:space="preserve"> a </w:t>
      </w:r>
      <w:r>
        <w:rPr>
          <w:lang w:eastAsia="es-MX"/>
        </w:rPr>
        <w:t>23.5</w:t>
      </w:r>
      <w:r w:rsidRPr="00515AE2">
        <w:rPr>
          <w:lang w:eastAsia="es-MX"/>
        </w:rPr>
        <w:t xml:space="preserve"> millones de pesos por concepto de </w:t>
      </w:r>
      <w:r>
        <w:rPr>
          <w:lang w:eastAsia="es-MX"/>
        </w:rPr>
        <w:t xml:space="preserve">impuestos Federales y 193.7 millones de pesos de autoliquidaciones, observándose un decrecimiento de 57.6% y una disminución de 19.5% respectivamente, </w:t>
      </w:r>
      <w:r w:rsidRPr="00515AE2">
        <w:rPr>
          <w:lang w:eastAsia="es-MX"/>
        </w:rPr>
        <w:t>mientras que</w:t>
      </w:r>
      <w:r>
        <w:rPr>
          <w:lang w:eastAsia="es-MX"/>
        </w:rPr>
        <w:t xml:space="preserve"> en Comercio Exterior ascendió</w:t>
      </w:r>
      <w:r w:rsidRPr="00515AE2">
        <w:rPr>
          <w:lang w:eastAsia="es-MX"/>
        </w:rPr>
        <w:t xml:space="preserve"> a </w:t>
      </w:r>
      <w:r>
        <w:rPr>
          <w:lang w:eastAsia="es-MX"/>
        </w:rPr>
        <w:t>11.6</w:t>
      </w:r>
      <w:r w:rsidRPr="00515AE2">
        <w:rPr>
          <w:lang w:eastAsia="es-MX"/>
        </w:rPr>
        <w:t xml:space="preserve"> millones de pesos </w:t>
      </w:r>
      <w:r>
        <w:rPr>
          <w:lang w:eastAsia="es-MX"/>
        </w:rPr>
        <w:t>con una variación positiva de 26.8% real.</w:t>
      </w:r>
    </w:p>
    <w:p w:rsidR="00E04EF1" w:rsidRDefault="00E04EF1" w:rsidP="00E04EF1">
      <w:pPr>
        <w:rPr>
          <w:lang w:eastAsia="es-MX"/>
        </w:rPr>
      </w:pPr>
      <w:r w:rsidRPr="00525121">
        <w:rPr>
          <w:lang w:eastAsia="es-MX"/>
        </w:rPr>
        <w:t>Los in</w:t>
      </w:r>
      <w:r>
        <w:rPr>
          <w:lang w:eastAsia="es-MX"/>
        </w:rPr>
        <w:t>gresos derivados del artículo 9o A</w:t>
      </w:r>
      <w:r w:rsidRPr="00525121">
        <w:rPr>
          <w:lang w:eastAsia="es-MX"/>
        </w:rPr>
        <w:t xml:space="preserve"> de la Ley de Coordinación fiscal, que se origina</w:t>
      </w:r>
      <w:r>
        <w:rPr>
          <w:lang w:eastAsia="es-MX"/>
        </w:rPr>
        <w:t>n por los puentes de peaje f</w:t>
      </w:r>
      <w:r w:rsidRPr="00525121">
        <w:rPr>
          <w:lang w:eastAsia="es-MX"/>
        </w:rPr>
        <w:t>ederales que administra Caminos y Puentes Federales</w:t>
      </w:r>
      <w:r>
        <w:rPr>
          <w:lang w:eastAsia="es-MX"/>
        </w:rPr>
        <w:t xml:space="preserve"> (CAPUFE)</w:t>
      </w:r>
      <w:r w:rsidRPr="00525121">
        <w:rPr>
          <w:lang w:eastAsia="es-MX"/>
        </w:rPr>
        <w:t xml:space="preserve"> de</w:t>
      </w:r>
      <w:r>
        <w:rPr>
          <w:lang w:eastAsia="es-MX"/>
        </w:rPr>
        <w:t xml:space="preserve"> Ingresos, </w:t>
      </w:r>
      <w:r w:rsidRPr="00525121">
        <w:rPr>
          <w:lang w:eastAsia="es-MX"/>
        </w:rPr>
        <w:t>acumulados a</w:t>
      </w:r>
      <w:r>
        <w:rPr>
          <w:lang w:eastAsia="es-MX"/>
        </w:rPr>
        <w:t xml:space="preserve"> septiembre ascienden a 9.0</w:t>
      </w:r>
      <w:r w:rsidRPr="00525121">
        <w:rPr>
          <w:lang w:eastAsia="es-MX"/>
        </w:rPr>
        <w:t xml:space="preserve"> millones</w:t>
      </w:r>
      <w:r>
        <w:rPr>
          <w:lang w:eastAsia="es-MX"/>
        </w:rPr>
        <w:t xml:space="preserve"> de pesos.</w:t>
      </w:r>
    </w:p>
    <w:p w:rsidR="00E04EF1" w:rsidRPr="00CA0764" w:rsidRDefault="00E04EF1" w:rsidP="00E04EF1">
      <w:pPr>
        <w:rPr>
          <w:lang w:eastAsia="es-MX"/>
        </w:rPr>
      </w:pPr>
      <w:r w:rsidRPr="00CA0764">
        <w:rPr>
          <w:lang w:eastAsia="es-MX"/>
        </w:rPr>
        <w:t xml:space="preserve">En lo que corresponde a la recaudación por concepto de Repecos, Intermedios y Enajenación se observa un ingreso de </w:t>
      </w:r>
      <w:r>
        <w:rPr>
          <w:lang w:eastAsia="es-MX"/>
        </w:rPr>
        <w:t>52.6</w:t>
      </w:r>
      <w:r w:rsidRPr="00CA0764">
        <w:rPr>
          <w:lang w:eastAsia="es-MX"/>
        </w:rPr>
        <w:t xml:space="preserve"> millones de pesos al cierre del mes de </w:t>
      </w:r>
      <w:r>
        <w:rPr>
          <w:lang w:eastAsia="es-MX"/>
        </w:rPr>
        <w:t>septiembre</w:t>
      </w:r>
      <w:r w:rsidRPr="00CA0764">
        <w:rPr>
          <w:lang w:eastAsia="es-MX"/>
        </w:rPr>
        <w:t xml:space="preserve"> de 2020, y en términos porcentuales se registra un decrecimiento por Repecos del 100%</w:t>
      </w:r>
      <w:r>
        <w:rPr>
          <w:lang w:eastAsia="es-MX"/>
        </w:rPr>
        <w:t>,</w:t>
      </w:r>
      <w:r w:rsidRPr="00CA0764">
        <w:rPr>
          <w:lang w:eastAsia="es-MX"/>
        </w:rPr>
        <w:t xml:space="preserve"> el </w:t>
      </w:r>
      <w:r>
        <w:rPr>
          <w:lang w:eastAsia="es-MX"/>
        </w:rPr>
        <w:t>91.8</w:t>
      </w:r>
      <w:r w:rsidRPr="00CA0764">
        <w:rPr>
          <w:lang w:eastAsia="es-MX"/>
        </w:rPr>
        <w:t xml:space="preserve">% en Intermedios y </w:t>
      </w:r>
      <w:r>
        <w:rPr>
          <w:lang w:eastAsia="es-MX"/>
        </w:rPr>
        <w:t>19.9</w:t>
      </w:r>
      <w:r w:rsidRPr="00CA0764">
        <w:rPr>
          <w:lang w:eastAsia="es-MX"/>
        </w:rPr>
        <w:t>% en Enajenación. Es importante mencionar que el régimen de REPECOS e Intermedios se eliminaron con la reforma fiscal realizada por el Gobierno Federal en 2013, esta es la razón de la caída en la recaudación de Repecos e Intermedios, ya que la cobranza realizada corresponde al rezago en estas contribuciones.</w:t>
      </w:r>
    </w:p>
    <w:p w:rsidR="00E04EF1" w:rsidRPr="00E04EF1" w:rsidRDefault="00E04EF1" w:rsidP="00E04EF1">
      <w:pPr>
        <w:rPr>
          <w:lang w:eastAsia="es-MX"/>
        </w:rPr>
      </w:pPr>
    </w:p>
    <w:p w:rsidR="00507A47" w:rsidRDefault="00507A47" w:rsidP="00507A47">
      <w:pPr>
        <w:pStyle w:val="Ttulo3"/>
        <w:spacing w:after="240"/>
        <w:rPr>
          <w:rFonts w:asciiTheme="minorHAnsi" w:hAnsiTheme="minorHAnsi" w:cstheme="minorHAnsi"/>
          <w:lang w:eastAsia="es-MX"/>
        </w:rPr>
      </w:pPr>
      <w:bookmarkStart w:id="55" w:name="_Toc521935708"/>
      <w:bookmarkStart w:id="56" w:name="_Toc47647124"/>
      <w:bookmarkStart w:id="57" w:name="_Toc55491768"/>
      <w:r w:rsidRPr="004023C7">
        <w:rPr>
          <w:rFonts w:asciiTheme="minorHAnsi" w:hAnsiTheme="minorHAnsi" w:cstheme="minorHAnsi"/>
          <w:lang w:eastAsia="es-MX"/>
        </w:rPr>
        <w:t>2.1.4. Recursos Federalizados (Ramo 33)</w:t>
      </w:r>
      <w:bookmarkEnd w:id="55"/>
      <w:bookmarkEnd w:id="56"/>
      <w:bookmarkEnd w:id="57"/>
    </w:p>
    <w:p w:rsidR="00E04EF1" w:rsidRDefault="00E04EF1" w:rsidP="00E04EF1">
      <w:pPr>
        <w:rPr>
          <w:lang w:eastAsia="es-MX"/>
        </w:rPr>
      </w:pPr>
      <w:bookmarkStart w:id="58" w:name="_MON_1547871910"/>
      <w:bookmarkStart w:id="59" w:name="_Toc47647125"/>
      <w:bookmarkStart w:id="60" w:name="_Toc55491769"/>
      <w:bookmarkStart w:id="61" w:name="_Toc521935709"/>
      <w:bookmarkEnd w:id="58"/>
      <w:r w:rsidRPr="00525121">
        <w:rPr>
          <w:lang w:eastAsia="es-MX"/>
        </w:rPr>
        <w:t xml:space="preserve">Al cierre del </w:t>
      </w:r>
      <w:r>
        <w:rPr>
          <w:lang w:eastAsia="es-MX"/>
        </w:rPr>
        <w:t>Tercer Trimestre de 2020</w:t>
      </w:r>
      <w:r w:rsidRPr="00525121">
        <w:rPr>
          <w:lang w:eastAsia="es-MX"/>
        </w:rPr>
        <w:t>, los ingresos por recurso</w:t>
      </w:r>
      <w:r>
        <w:rPr>
          <w:lang w:eastAsia="es-MX"/>
        </w:rPr>
        <w:t>s federalizados ascendieron a 13 mil 51.8</w:t>
      </w:r>
      <w:r w:rsidRPr="00525121">
        <w:rPr>
          <w:lang w:eastAsia="es-MX"/>
        </w:rPr>
        <w:t xml:space="preserve"> millone</w:t>
      </w:r>
      <w:r>
        <w:rPr>
          <w:lang w:eastAsia="es-MX"/>
        </w:rPr>
        <w:t>s de pesos, que comparados con 10 mil 879.2</w:t>
      </w:r>
      <w:r w:rsidRPr="00525121">
        <w:rPr>
          <w:lang w:eastAsia="es-MX"/>
        </w:rPr>
        <w:t xml:space="preserve"> millones de pesos recib</w:t>
      </w:r>
      <w:r>
        <w:rPr>
          <w:lang w:eastAsia="es-MX"/>
        </w:rPr>
        <w:t>idos en el mismo periodo de 2019</w:t>
      </w:r>
      <w:r w:rsidRPr="00525121">
        <w:rPr>
          <w:lang w:eastAsia="es-MX"/>
        </w:rPr>
        <w:t>, muestran una diferencia absoluta</w:t>
      </w:r>
      <w:r>
        <w:rPr>
          <w:lang w:eastAsia="es-MX"/>
        </w:rPr>
        <w:t xml:space="preserve"> positiva</w:t>
      </w:r>
      <w:r w:rsidRPr="00525121">
        <w:rPr>
          <w:lang w:eastAsia="es-MX"/>
        </w:rPr>
        <w:t xml:space="preserve"> de </w:t>
      </w:r>
      <w:r>
        <w:rPr>
          <w:lang w:eastAsia="es-MX"/>
        </w:rPr>
        <w:t>2 mil 172.6</w:t>
      </w:r>
      <w:r w:rsidR="001E1C81">
        <w:rPr>
          <w:lang w:eastAsia="es-MX"/>
        </w:rPr>
        <w:t xml:space="preserve"> </w:t>
      </w:r>
      <w:r w:rsidRPr="00525121">
        <w:rPr>
          <w:lang w:eastAsia="es-MX"/>
        </w:rPr>
        <w:t>millones de pesos y en términos porcentuales representa</w:t>
      </w:r>
      <w:r>
        <w:rPr>
          <w:lang w:eastAsia="es-MX"/>
        </w:rPr>
        <w:t xml:space="preserve"> un crecimiento real del 15.3</w:t>
      </w:r>
      <w:r w:rsidRPr="00525121">
        <w:rPr>
          <w:lang w:eastAsia="es-MX"/>
        </w:rPr>
        <w:t>%</w:t>
      </w:r>
      <w:r>
        <w:rPr>
          <w:lang w:eastAsia="es-MX"/>
        </w:rPr>
        <w:t>.</w:t>
      </w:r>
    </w:p>
    <w:p w:rsidR="00E04EF1" w:rsidRDefault="00E04EF1" w:rsidP="00E04EF1">
      <w:r w:rsidRPr="00C44F8E">
        <w:rPr>
          <w:noProof/>
          <w:lang w:eastAsia="es-MX"/>
        </w:rPr>
        <w:lastRenderedPageBreak/>
        <w:drawing>
          <wp:inline distT="0" distB="0" distL="0" distR="0">
            <wp:extent cx="5581015" cy="3391535"/>
            <wp:effectExtent l="0" t="0" r="635" b="0"/>
            <wp:docPr id="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015" cy="3391535"/>
                    </a:xfrm>
                    <a:prstGeom prst="rect">
                      <a:avLst/>
                    </a:prstGeom>
                    <a:noFill/>
                    <a:ln>
                      <a:noFill/>
                    </a:ln>
                  </pic:spPr>
                </pic:pic>
              </a:graphicData>
            </a:graphic>
          </wp:inline>
        </w:drawing>
      </w:r>
    </w:p>
    <w:p w:rsidR="00E04EF1" w:rsidRDefault="00E04EF1" w:rsidP="00E04EF1"/>
    <w:p w:rsidR="00507A47" w:rsidRDefault="00507A47" w:rsidP="00507A47">
      <w:pPr>
        <w:pStyle w:val="Ttulo3"/>
        <w:spacing w:after="240"/>
        <w:rPr>
          <w:rFonts w:cs="Calibri"/>
        </w:rPr>
      </w:pPr>
      <w:r w:rsidRPr="000B5B2E">
        <w:rPr>
          <w:rFonts w:cs="Calibri"/>
        </w:rPr>
        <w:t xml:space="preserve">2.1.5. </w:t>
      </w:r>
      <w:r>
        <w:rPr>
          <w:rFonts w:cs="Calibri"/>
        </w:rPr>
        <w:t>Convenios</w:t>
      </w:r>
      <w:bookmarkEnd w:id="59"/>
      <w:bookmarkEnd w:id="60"/>
    </w:p>
    <w:p w:rsidR="00E04EF1" w:rsidRDefault="007F0A36" w:rsidP="00E04EF1">
      <w:r w:rsidRPr="00525121">
        <w:t>Las Transferencias realizadas por las dependencias del Gobierno Federal a través de Convenios de reasignación</w:t>
      </w:r>
      <w:r>
        <w:t xml:space="preserve"> </w:t>
      </w:r>
      <w:r w:rsidRPr="00525121">
        <w:t>al Sector Público</w:t>
      </w:r>
      <w:r>
        <w:t>, a</w:t>
      </w:r>
      <w:r w:rsidRPr="00525121">
        <w:t xml:space="preserve">l periodo de análisis observan </w:t>
      </w:r>
      <w:r>
        <w:t>ingresos por 2 mil 167.2</w:t>
      </w:r>
      <w:r w:rsidRPr="00525121">
        <w:t xml:space="preserve"> millones</w:t>
      </w:r>
      <w:r>
        <w:t xml:space="preserve"> de pesos, que comparados con 2 mil 312.3</w:t>
      </w:r>
      <w:r w:rsidRPr="00525121">
        <w:t>millones de pesos recib</w:t>
      </w:r>
      <w:r>
        <w:t>idos en el mismo periodo de 2019</w:t>
      </w:r>
      <w:r w:rsidRPr="00525121">
        <w:t xml:space="preserve">, muestran una diferencia absoluta </w:t>
      </w:r>
      <w:r>
        <w:t>negativa de145.0</w:t>
      </w:r>
      <w:r w:rsidRPr="00525121">
        <w:t xml:space="preserve"> millones de pesos y en términos porcentuales representa un </w:t>
      </w:r>
      <w:r>
        <w:t>de</w:t>
      </w:r>
      <w:r w:rsidRPr="00525121">
        <w:t xml:space="preserve">crecimiento de </w:t>
      </w:r>
      <w:r>
        <w:t>9.9% real, lo anterior correspondiendo de estos ingresos 164.1</w:t>
      </w:r>
      <w:r w:rsidRPr="00525121">
        <w:t xml:space="preserve"> millones de pesos a radicacion</w:t>
      </w:r>
      <w:r>
        <w:t>es realizadas por la SHCP, debido principalmente a la desaparición del Ramo 23 del Presupuesto de Egresos de la Federación, 23.2 millones de pesos a la Comisión Nacional del Agua, Un mil 327.4</w:t>
      </w:r>
      <w:r w:rsidRPr="00525121">
        <w:t xml:space="preserve"> millones de pesos a </w:t>
      </w:r>
      <w:r>
        <w:t>la Secretaría de Salud, 373.9</w:t>
      </w:r>
      <w:r w:rsidRPr="00525121">
        <w:t>millones de pesos de la Secr</w:t>
      </w:r>
      <w:r>
        <w:t>etaría de Educación Pública, 0.3 millones de pesos a la Secretaría de Medio Ambiente y Recursos Naturales, 19.0 millones de pesos a la Secretaría de Gobernación, 10.0 millones de pesos a la Secretaría de Cultura,227.0 millones de pesos a la Secretaría de Agricultura y Desarrollo Rural y 22.3 millones de pesos a Otros Convenios.</w:t>
      </w:r>
    </w:p>
    <w:p w:rsidR="00E04EF1" w:rsidRDefault="00E04EF1" w:rsidP="00E04EF1">
      <w:r w:rsidRPr="00C44F8E">
        <w:rPr>
          <w:noProof/>
          <w:lang w:eastAsia="es-MX"/>
        </w:rPr>
        <w:lastRenderedPageBreak/>
        <w:drawing>
          <wp:inline distT="0" distB="0" distL="0" distR="0">
            <wp:extent cx="5581015" cy="2534285"/>
            <wp:effectExtent l="0" t="0" r="635" b="0"/>
            <wp:docPr id="1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015" cy="2534285"/>
                    </a:xfrm>
                    <a:prstGeom prst="rect">
                      <a:avLst/>
                    </a:prstGeom>
                    <a:noFill/>
                    <a:ln>
                      <a:noFill/>
                    </a:ln>
                  </pic:spPr>
                </pic:pic>
              </a:graphicData>
            </a:graphic>
          </wp:inline>
        </w:drawing>
      </w:r>
    </w:p>
    <w:p w:rsidR="00E04EF1" w:rsidRDefault="00E04EF1" w:rsidP="00E04EF1">
      <w:r w:rsidRPr="0068642F">
        <w:t xml:space="preserve">Dentro de las Transferencias </w:t>
      </w:r>
      <w:r w:rsidRPr="001D2053">
        <w:t>de la Secretaría de Hacienda se encuentran reportada</w:t>
      </w:r>
      <w:r>
        <w:t>s</w:t>
      </w:r>
      <w:r w:rsidRPr="001D2053">
        <w:t xml:space="preserve"> al periodo de análisis la procedente del Fondo Metropolitano ZM (Mazatlán) por la cant</w:t>
      </w:r>
      <w:r>
        <w:t>idad de 157.2 millones de pesos, Fondo de Accesibilidad en el Transporte Público para las Personas con Discapacidad por 5.9 millones de pesos y la Capacitación y Modernización del PEF por 1.1 millones de pesos.</w:t>
      </w:r>
    </w:p>
    <w:p w:rsidR="00E04EF1" w:rsidRPr="00AB4136" w:rsidRDefault="00E04EF1" w:rsidP="00E04EF1">
      <w:pPr>
        <w:rPr>
          <w:highlight w:val="yellow"/>
        </w:rPr>
      </w:pPr>
      <w:r>
        <w:t>Las transferencias de la Comisión Nacional del Agua, que ascendieron a 23.2 millones de pesos, corresponden a los siguientes programas: Emergente Apartado Agua Limpia 4.8 millones de pesos, Apartado Agua Limpia 0.5 millones de pesos, 4.8 millones de pesos de Desarrollo Integral de Org. Operadores de Agua y Saneamiento (PRODI), Agua Potable, Drenaje y Tratamiento Apartado Urbano 10.9 millones de pesos, Agua Potable, Drenaje y Tratamiento Apartado Rural 2.3 millones de pesos.</w:t>
      </w:r>
    </w:p>
    <w:p w:rsidR="00E04EF1" w:rsidRPr="00071665" w:rsidRDefault="00E04EF1" w:rsidP="00E04EF1">
      <w:r w:rsidRPr="00071665">
        <w:t xml:space="preserve">Las Transferencias de la Secretaría de Salud, que ascendieron a </w:t>
      </w:r>
      <w:r>
        <w:t>Un mil 327.4</w:t>
      </w:r>
      <w:r w:rsidRPr="00071665">
        <w:t xml:space="preserve"> millones de pesos, corresponden a los siguientes programas</w:t>
      </w:r>
      <w:r w:rsidRPr="001105C1">
        <w:rPr>
          <w:color w:val="000000"/>
        </w:rPr>
        <w:t xml:space="preserve">: </w:t>
      </w:r>
      <w:r>
        <w:rPr>
          <w:color w:val="000000"/>
        </w:rPr>
        <w:t>497.9</w:t>
      </w:r>
      <w:r w:rsidRPr="001105C1">
        <w:rPr>
          <w:color w:val="000000"/>
        </w:rPr>
        <w:t xml:space="preserve"> millones de pesos del Programa INSABI prestación gratuita de servicios de salud, medicamentos y demás insumos, </w:t>
      </w:r>
      <w:r>
        <w:rPr>
          <w:color w:val="000000"/>
        </w:rPr>
        <w:t>193.2</w:t>
      </w:r>
      <w:r w:rsidRPr="001105C1">
        <w:rPr>
          <w:color w:val="000000"/>
        </w:rPr>
        <w:t xml:space="preserve"> millones de pesos del Programa para gastos catastróficos,</w:t>
      </w:r>
      <w:r w:rsidRPr="001105C1">
        <w:rPr>
          <w:color w:val="000000" w:themeColor="text1"/>
        </w:rPr>
        <w:t xml:space="preserve"> 2.8 millones de pesos del Programa de salud y bienestar comunitario, 3.0 </w:t>
      </w:r>
      <w:bookmarkStart w:id="62" w:name="_Hlk23750763"/>
      <w:r w:rsidRPr="001105C1">
        <w:rPr>
          <w:color w:val="000000" w:themeColor="text1"/>
        </w:rPr>
        <w:t xml:space="preserve">millones de pesos </w:t>
      </w:r>
      <w:bookmarkEnd w:id="62"/>
      <w:r w:rsidRPr="001105C1">
        <w:rPr>
          <w:color w:val="000000" w:themeColor="text1"/>
        </w:rPr>
        <w:t xml:space="preserve">del INSABI seguro médico siglo XXI, </w:t>
      </w:r>
      <w:r>
        <w:rPr>
          <w:color w:val="000000" w:themeColor="text1"/>
        </w:rPr>
        <w:t>49.7</w:t>
      </w:r>
      <w:r w:rsidRPr="001105C1">
        <w:rPr>
          <w:color w:val="000000" w:themeColor="text1"/>
        </w:rPr>
        <w:t xml:space="preserve"> millones de pesos del Programa para las acciones de prevención y promoción a la salud (AFASPE),</w:t>
      </w:r>
      <w:r>
        <w:rPr>
          <w:color w:val="000000"/>
        </w:rPr>
        <w:t>405.9</w:t>
      </w:r>
      <w:r w:rsidRPr="001105C1">
        <w:rPr>
          <w:color w:val="000000"/>
        </w:rPr>
        <w:t xml:space="preserve"> millones de pesos del Fondo de Previsión Presupuestal, 11.8 millones de pesos del Programa fortalecimiento en la atención médica,</w:t>
      </w:r>
      <w:r>
        <w:rPr>
          <w:color w:val="000000" w:themeColor="text1"/>
        </w:rPr>
        <w:t>4.5</w:t>
      </w:r>
      <w:r w:rsidRPr="001105C1">
        <w:rPr>
          <w:color w:val="000000" w:themeColor="text1"/>
        </w:rPr>
        <w:t xml:space="preserve"> del Programa para prevención y tratamiento de adicciones, 63.</w:t>
      </w:r>
      <w:r>
        <w:rPr>
          <w:color w:val="000000" w:themeColor="text1"/>
        </w:rPr>
        <w:t>1</w:t>
      </w:r>
      <w:r w:rsidRPr="001105C1">
        <w:rPr>
          <w:color w:val="000000" w:themeColor="text1"/>
        </w:rPr>
        <w:t xml:space="preserve"> millones de pesos INSABI COVID-19, 0.9 millones de pesos del CREE atención a personas con discapacidad, </w:t>
      </w:r>
      <w:r>
        <w:rPr>
          <w:color w:val="000000"/>
        </w:rPr>
        <w:t>94.6</w:t>
      </w:r>
      <w:r w:rsidRPr="001105C1">
        <w:rPr>
          <w:color w:val="000000"/>
        </w:rPr>
        <w:t xml:space="preserve"> millones de pesos del Programa de atención a la salud y medicamentos gratuitos.</w:t>
      </w:r>
    </w:p>
    <w:p w:rsidR="00E04EF1" w:rsidRDefault="00E04EF1" w:rsidP="00E04EF1">
      <w:r w:rsidRPr="00E50489">
        <w:t xml:space="preserve">Las Transferencias de la Secretaría de Educación Pública, que ascendieron a </w:t>
      </w:r>
      <w:r>
        <w:t>373.9</w:t>
      </w:r>
      <w:r w:rsidRPr="00E50489">
        <w:t xml:space="preserve"> millones de pesos se componen de los siguientes programas: </w:t>
      </w:r>
      <w:r>
        <w:t>243.1</w:t>
      </w:r>
      <w:r w:rsidRPr="00E50489">
        <w:t xml:space="preserve"> millones de pesos del Programa </w:t>
      </w:r>
      <w:r w:rsidRPr="00E50489">
        <w:lastRenderedPageBreak/>
        <w:t>escuela de tiempo completo,</w:t>
      </w:r>
      <w:r>
        <w:t xml:space="preserve">2.2 millones de pesos Programa Nacional de Convivencia Escolar,1.7 millones de pesos a la Atención a la Diversidad de la Educación Indígena, 12.2 millones de pesos a la Atención Educativa de la Población Escolar Migrante, 4.1 millones de pesos para el Desarrollo de Aprendizajes Significativos de Educación Básica, 18.2 millones de pesos de Expansión de la Educación Inicial,  37.7 millones de pesos Programa Nacional de Ingles, 24.2 millones de pesos de </w:t>
      </w:r>
      <w:r w:rsidRPr="006508AF">
        <w:t>Tele bachillerato Comunitario</w:t>
      </w:r>
      <w:r>
        <w:t xml:space="preserve">, 1.9 millones de pesos de Fortalecimiento de los Servicios de Educación Especial, 2.6 millones de pesos PROFEXCE UADEO, 11.9 millones de pesos Fortalecimiento a la Excelencia Educativa, 2.0 millones de pesos para el Desarrollo Profesional Docente Tipo Básico y 12.1 millones de pesos del </w:t>
      </w:r>
      <w:r w:rsidRPr="006508AF">
        <w:t>Instituto Sinaloense para la Educación de los adultos</w:t>
      </w:r>
      <w:r>
        <w:t>.</w:t>
      </w:r>
    </w:p>
    <w:p w:rsidR="00E04EF1" w:rsidRDefault="00E04EF1" w:rsidP="00E04EF1">
      <w:r w:rsidRPr="00E50489">
        <w:t xml:space="preserve">Las Transferencias de la Secretaría de </w:t>
      </w:r>
      <w:r>
        <w:t>Medio Ambiente y Recursos Naturales</w:t>
      </w:r>
      <w:r w:rsidRPr="00E50489">
        <w:t xml:space="preserve">, que ascendieron a </w:t>
      </w:r>
      <w:r>
        <w:t>0.3 millones de pesos el recurso es para operación de brigadas rurales para la prevención combate y control de incendios forestales.</w:t>
      </w:r>
    </w:p>
    <w:p w:rsidR="00E04EF1" w:rsidRDefault="00E04EF1" w:rsidP="00E04EF1">
      <w:r w:rsidRPr="00E50489">
        <w:t xml:space="preserve">Las Transferencias de la Secretaría de </w:t>
      </w:r>
      <w:r>
        <w:t>Gobernación</w:t>
      </w:r>
      <w:r w:rsidRPr="00E50489">
        <w:t xml:space="preserve">, que ascendieron a </w:t>
      </w:r>
      <w:r>
        <w:t>19.0</w:t>
      </w:r>
      <w:r w:rsidRPr="00E50489">
        <w:t xml:space="preserve"> millones de pesos se componen de </w:t>
      </w:r>
      <w:r>
        <w:t>18.0</w:t>
      </w:r>
      <w:r w:rsidRPr="00E50489">
        <w:t xml:space="preserve"> millones de pesos del </w:t>
      </w:r>
      <w:r>
        <w:t>Subsidio Federal para las acciones de búsquedas localización de personas y 1.0 millones de pesos Programa Registro e Identificación de Población Fortalecimiento del Registro Civil.</w:t>
      </w:r>
    </w:p>
    <w:p w:rsidR="00E04EF1" w:rsidRDefault="00E04EF1" w:rsidP="00E04EF1">
      <w:r w:rsidRPr="00E50489">
        <w:t xml:space="preserve">Las Transferencias de la Secretaría de </w:t>
      </w:r>
      <w:r>
        <w:t>Cultura</w:t>
      </w:r>
      <w:r w:rsidRPr="00E50489">
        <w:t>, que ascendi</w:t>
      </w:r>
      <w:r>
        <w:t>ó</w:t>
      </w:r>
      <w:r w:rsidRPr="00E50489">
        <w:t xml:space="preserve"> a </w:t>
      </w:r>
      <w:r>
        <w:t>10.0 millones de pesos en Apoyo a Instituciones Estatales de Cultura.</w:t>
      </w:r>
    </w:p>
    <w:p w:rsidR="00E04EF1" w:rsidRDefault="00E04EF1" w:rsidP="00E04EF1">
      <w:r w:rsidRPr="00E50489">
        <w:t xml:space="preserve">Las Transferencias de la Secretaría de </w:t>
      </w:r>
      <w:r>
        <w:t>Agricultura y Desarrollo Rural,</w:t>
      </w:r>
      <w:r w:rsidRPr="00E50489">
        <w:t xml:space="preserve"> ascendi</w:t>
      </w:r>
      <w:r>
        <w:t>ó</w:t>
      </w:r>
      <w:r w:rsidRPr="00E50489">
        <w:t xml:space="preserve"> a </w:t>
      </w:r>
      <w:r>
        <w:t>227.0 millones de pesos.</w:t>
      </w:r>
    </w:p>
    <w:p w:rsidR="00E04EF1" w:rsidRDefault="00E04EF1" w:rsidP="00E04EF1">
      <w:r w:rsidRPr="00E50489">
        <w:t xml:space="preserve">Las Transferencias </w:t>
      </w:r>
      <w:r>
        <w:t>de Otros Convenios,</w:t>
      </w:r>
      <w:r w:rsidRPr="00E50489">
        <w:t xml:space="preserve"> ascendi</w:t>
      </w:r>
      <w:r>
        <w:t>ó</w:t>
      </w:r>
      <w:r w:rsidRPr="00E50489">
        <w:t xml:space="preserve"> a </w:t>
      </w:r>
      <w:r>
        <w:t>22.3 millones de pesos se componen de 5.4 millones de Modernización Catastro (SEDATU), 7.2 millones de pesos de Modernización de Registro Público, 7.2 millones de pesos de Transversalidad y 2.5 millones de pesos de Fondo para Bienestar y Avance de Mujeres (FOBAM).</w:t>
      </w:r>
    </w:p>
    <w:p w:rsidR="00E04EF1" w:rsidRPr="00E04EF1" w:rsidRDefault="00E04EF1" w:rsidP="00E04EF1"/>
    <w:p w:rsidR="00507A47" w:rsidRDefault="00507A47" w:rsidP="00507A47">
      <w:pPr>
        <w:pStyle w:val="Ttulo3"/>
        <w:spacing w:after="240"/>
        <w:rPr>
          <w:rFonts w:asciiTheme="minorHAnsi" w:hAnsiTheme="minorHAnsi" w:cstheme="minorHAnsi"/>
        </w:rPr>
      </w:pPr>
      <w:bookmarkStart w:id="63" w:name="_Toc47647126"/>
      <w:bookmarkStart w:id="64" w:name="_Toc55491770"/>
      <w:r w:rsidRPr="00664519">
        <w:rPr>
          <w:rFonts w:asciiTheme="minorHAnsi" w:hAnsiTheme="minorHAnsi" w:cstheme="minorHAnsi"/>
        </w:rPr>
        <w:t>2.1.6. Transferencias Internas y Asignaciones, Subsidios y Otras Ayudas</w:t>
      </w:r>
      <w:bookmarkEnd w:id="61"/>
      <w:bookmarkEnd w:id="63"/>
      <w:bookmarkEnd w:id="64"/>
    </w:p>
    <w:p w:rsidR="00E04EF1" w:rsidRDefault="00E04EF1" w:rsidP="00E04EF1">
      <w:pPr>
        <w:rPr>
          <w:lang w:eastAsia="es-MX"/>
        </w:rPr>
      </w:pPr>
      <w:r w:rsidRPr="00525121">
        <w:t>Las Transferencias realizadas por</w:t>
      </w:r>
      <w:r w:rsidRPr="00A826B7">
        <w:t xml:space="preserve"> Subsidi</w:t>
      </w:r>
      <w:r>
        <w:t xml:space="preserve">os y Subvenciones ascendieron a 4 mil 294.0 millones </w:t>
      </w:r>
      <w:r w:rsidRPr="00734F5A">
        <w:t xml:space="preserve">y en el mismo periodo de 2019 ingresaron </w:t>
      </w:r>
      <w:r>
        <w:t>4</w:t>
      </w:r>
      <w:r w:rsidRPr="00734F5A">
        <w:t xml:space="preserve"> mil </w:t>
      </w:r>
      <w:r>
        <w:t>138.8</w:t>
      </w:r>
      <w:r w:rsidRPr="00734F5A">
        <w:t xml:space="preserve"> millones de pesos, lo que representa una variación </w:t>
      </w:r>
      <w:r>
        <w:t>positiva</w:t>
      </w:r>
      <w:r w:rsidRPr="00734F5A">
        <w:t xml:space="preserve"> absoluta de </w:t>
      </w:r>
      <w:r>
        <w:t>155.2</w:t>
      </w:r>
      <w:r w:rsidRPr="00734F5A">
        <w:t xml:space="preserve"> millones de pesos, </w:t>
      </w:r>
      <w:r>
        <w:t>sin embargo, s</w:t>
      </w:r>
      <w:r w:rsidRPr="00734F5A">
        <w:t xml:space="preserve">e observa un decrecimiento real del </w:t>
      </w:r>
      <w:r>
        <w:t>0.3</w:t>
      </w:r>
      <w:r w:rsidRPr="00734F5A">
        <w:t>%.</w:t>
      </w:r>
    </w:p>
    <w:p w:rsidR="00E04EF1" w:rsidRDefault="00E04EF1" w:rsidP="00E04EF1"/>
    <w:p w:rsidR="00E04EF1" w:rsidRPr="00525121" w:rsidRDefault="00E04EF1" w:rsidP="00E04EF1">
      <w:r w:rsidRPr="00C44F8E">
        <w:rPr>
          <w:noProof/>
          <w:lang w:eastAsia="es-MX"/>
        </w:rPr>
        <w:lastRenderedPageBreak/>
        <w:drawing>
          <wp:inline distT="0" distB="0" distL="0" distR="0">
            <wp:extent cx="5581015" cy="2773680"/>
            <wp:effectExtent l="0" t="0" r="635" b="7620"/>
            <wp:docPr id="1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015" cy="2773680"/>
                    </a:xfrm>
                    <a:prstGeom prst="rect">
                      <a:avLst/>
                    </a:prstGeom>
                    <a:noFill/>
                    <a:ln>
                      <a:noFill/>
                    </a:ln>
                  </pic:spPr>
                </pic:pic>
              </a:graphicData>
            </a:graphic>
          </wp:inline>
        </w:drawing>
      </w:r>
    </w:p>
    <w:p w:rsidR="00E04EF1" w:rsidRDefault="00E04EF1" w:rsidP="00E04EF1">
      <w:pPr>
        <w:rPr>
          <w:lang w:eastAsia="es-MX"/>
        </w:rPr>
      </w:pPr>
      <w:r w:rsidRPr="00525121">
        <w:t xml:space="preserve">Los subsidios de Educación Pública ascienden al mes </w:t>
      </w:r>
      <w:r w:rsidR="007F0A36" w:rsidRPr="00525121">
        <w:t>de</w:t>
      </w:r>
      <w:r w:rsidR="007F0A36">
        <w:t xml:space="preserve"> septiembre</w:t>
      </w:r>
      <w:r>
        <w:t xml:space="preserve"> a 4 mil 216.1</w:t>
      </w:r>
      <w:r w:rsidRPr="00525121">
        <w:t xml:space="preserve"> millones de pesos, distribuidos en los diversos centros de estudios superior</w:t>
      </w:r>
      <w:r>
        <w:t>es</w:t>
      </w:r>
      <w:r w:rsidRPr="00525121">
        <w:t xml:space="preserve"> principalmente</w:t>
      </w:r>
      <w:r>
        <w:t xml:space="preserve"> en</w:t>
      </w:r>
      <w:r w:rsidRPr="00525121">
        <w:t xml:space="preserve"> la Universida</w:t>
      </w:r>
      <w:r>
        <w:t xml:space="preserve">d Autónoma de Sinaloa, así también </w:t>
      </w:r>
      <w:r>
        <w:rPr>
          <w:lang w:eastAsia="es-MX"/>
        </w:rPr>
        <w:t>se observan mayores</w:t>
      </w:r>
      <w:r w:rsidRPr="00525121">
        <w:rPr>
          <w:lang w:eastAsia="es-MX"/>
        </w:rPr>
        <w:t xml:space="preserve"> ingresos por el orden de </w:t>
      </w:r>
      <w:r>
        <w:rPr>
          <w:lang w:eastAsia="es-MX"/>
        </w:rPr>
        <w:t>196.9</w:t>
      </w:r>
      <w:r w:rsidRPr="00525121">
        <w:rPr>
          <w:lang w:eastAsia="es-MX"/>
        </w:rPr>
        <w:t xml:space="preserve">millones </w:t>
      </w:r>
      <w:r>
        <w:rPr>
          <w:lang w:eastAsia="es-MX"/>
        </w:rPr>
        <w:t xml:space="preserve">de pesos a los obtenidos en el mismo periodo. </w:t>
      </w:r>
    </w:p>
    <w:p w:rsidR="00E04EF1" w:rsidRDefault="00E04EF1" w:rsidP="00E04EF1">
      <w:pPr>
        <w:rPr>
          <w:lang w:eastAsia="es-MX"/>
        </w:rPr>
      </w:pPr>
      <w:r>
        <w:rPr>
          <w:lang w:eastAsia="es-MX"/>
        </w:rPr>
        <w:t>Respecto a los ingresos obtenidos por concepto de subsidios de Seguridad Pública se tiene al mes de septiembre de 2020 ingresos correspondientes a 77.9 millones de pesos que comparados con los ingresos obtenidos al periodo anterior, representan menores ingresos por 41.7 millones de pesos, observando un decrecimiento en términos reales de 37.4 por ciento.</w:t>
      </w:r>
    </w:p>
    <w:p w:rsidR="00E04EF1" w:rsidRPr="00E04EF1" w:rsidRDefault="00E04EF1" w:rsidP="00E04EF1"/>
    <w:p w:rsidR="00507A47" w:rsidRPr="005F18CC" w:rsidRDefault="00507A47" w:rsidP="00507A47">
      <w:pPr>
        <w:pStyle w:val="Ttulo3"/>
        <w:spacing w:after="240"/>
        <w:rPr>
          <w:rFonts w:asciiTheme="minorHAnsi" w:hAnsiTheme="minorHAnsi" w:cstheme="minorHAnsi"/>
        </w:rPr>
      </w:pPr>
      <w:bookmarkStart w:id="65" w:name="_Toc47647127"/>
      <w:bookmarkStart w:id="66" w:name="_Toc55491771"/>
      <w:r w:rsidRPr="005F18CC">
        <w:rPr>
          <w:rFonts w:asciiTheme="minorHAnsi" w:hAnsiTheme="minorHAnsi" w:cstheme="minorHAnsi"/>
        </w:rPr>
        <w:t>2</w:t>
      </w:r>
      <w:r>
        <w:rPr>
          <w:rFonts w:asciiTheme="minorHAnsi" w:hAnsiTheme="minorHAnsi" w:cstheme="minorHAnsi"/>
        </w:rPr>
        <w:t>.1.7</w:t>
      </w:r>
      <w:r w:rsidRPr="005F18CC">
        <w:rPr>
          <w:rFonts w:asciiTheme="minorHAnsi" w:hAnsiTheme="minorHAnsi" w:cstheme="minorHAnsi"/>
        </w:rPr>
        <w:t>. Transferencia de Recursos a Municipios</w:t>
      </w:r>
      <w:bookmarkEnd w:id="65"/>
      <w:bookmarkEnd w:id="66"/>
    </w:p>
    <w:p w:rsidR="00E04EF1" w:rsidRDefault="00E04EF1" w:rsidP="00E04EF1">
      <w:r w:rsidRPr="006536DC">
        <w:t xml:space="preserve">Al </w:t>
      </w:r>
      <w:r>
        <w:t>tercer trimestre de 2020</w:t>
      </w:r>
      <w:r w:rsidRPr="006536DC">
        <w:t xml:space="preserve">, los recursos transferidos a los municipios de acuerdo a la Ley </w:t>
      </w:r>
      <w:r w:rsidRPr="000B706D">
        <w:t xml:space="preserve">de Coordinación Fiscal y a la Ley de Coordinación Fiscal del Estado de Sinaloa, ascendieron a </w:t>
      </w:r>
      <w:r>
        <w:t>6</w:t>
      </w:r>
      <w:r w:rsidRPr="000B706D">
        <w:t xml:space="preserve"> mil </w:t>
      </w:r>
      <w:r>
        <w:t>491.0</w:t>
      </w:r>
      <w:r w:rsidRPr="000B706D">
        <w:t xml:space="preserve"> millones de pesos, mientras en el mismo periodo de 2019 ascendieron a </w:t>
      </w:r>
      <w:r>
        <w:t xml:space="preserve">6 </w:t>
      </w:r>
      <w:r w:rsidRPr="000B706D">
        <w:t xml:space="preserve">mil </w:t>
      </w:r>
      <w:r>
        <w:t>506.6</w:t>
      </w:r>
      <w:r w:rsidRPr="000B706D">
        <w:t xml:space="preserve"> millones de pesos, lo que significa </w:t>
      </w:r>
      <w:r>
        <w:t xml:space="preserve">una </w:t>
      </w:r>
      <w:r w:rsidR="007F0A36">
        <w:t>reducción en</w:t>
      </w:r>
      <w:r>
        <w:t xml:space="preserve"> términos </w:t>
      </w:r>
      <w:r w:rsidRPr="000B706D">
        <w:t>real</w:t>
      </w:r>
      <w:r>
        <w:t>es</w:t>
      </w:r>
      <w:r w:rsidRPr="000B706D">
        <w:t xml:space="preserve"> de </w:t>
      </w:r>
      <w:r>
        <w:t>4</w:t>
      </w:r>
      <w:r w:rsidRPr="000B706D">
        <w:t>.</w:t>
      </w:r>
      <w:r>
        <w:t>1</w:t>
      </w:r>
      <w:r w:rsidRPr="000B706D">
        <w:t xml:space="preserve"> por ciento.</w:t>
      </w:r>
    </w:p>
    <w:p w:rsidR="00E04EF1" w:rsidRPr="00170E53" w:rsidRDefault="00E04EF1" w:rsidP="00E04EF1">
      <w:pPr>
        <w:jc w:val="center"/>
      </w:pPr>
      <w:r w:rsidRPr="0041314A">
        <w:rPr>
          <w:noProof/>
          <w:lang w:eastAsia="es-MX"/>
        </w:rPr>
        <w:lastRenderedPageBreak/>
        <w:drawing>
          <wp:inline distT="0" distB="0" distL="0" distR="0">
            <wp:extent cx="5612130" cy="5659755"/>
            <wp:effectExtent l="0" t="0" r="762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5659755"/>
                    </a:xfrm>
                    <a:prstGeom prst="rect">
                      <a:avLst/>
                    </a:prstGeom>
                    <a:noFill/>
                    <a:ln>
                      <a:noFill/>
                    </a:ln>
                  </pic:spPr>
                </pic:pic>
              </a:graphicData>
            </a:graphic>
          </wp:inline>
        </w:drawing>
      </w:r>
    </w:p>
    <w:p w:rsidR="00E04EF1" w:rsidRDefault="00E04EF1" w:rsidP="00E04EF1">
      <w:pPr>
        <w:tabs>
          <w:tab w:val="left" w:pos="7769"/>
        </w:tabs>
        <w:jc w:val="left"/>
        <w:rPr>
          <w:rFonts w:ascii="Arial" w:hAnsi="Arial" w:cs="Arial"/>
          <w:szCs w:val="24"/>
        </w:rPr>
      </w:pPr>
    </w:p>
    <w:p w:rsidR="00E04EF1" w:rsidRDefault="00E04EF1" w:rsidP="00E04EF1">
      <w:pPr>
        <w:tabs>
          <w:tab w:val="left" w:pos="7769"/>
        </w:tabs>
        <w:jc w:val="left"/>
      </w:pPr>
      <w:r w:rsidRPr="00FB1131">
        <w:rPr>
          <w:noProof/>
          <w:lang w:eastAsia="es-MX"/>
        </w:rPr>
        <w:lastRenderedPageBreak/>
        <w:drawing>
          <wp:inline distT="0" distB="0" distL="0" distR="0">
            <wp:extent cx="5612130" cy="5518785"/>
            <wp:effectExtent l="0" t="0" r="7620" b="5715"/>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5518785"/>
                    </a:xfrm>
                    <a:prstGeom prst="rect">
                      <a:avLst/>
                    </a:prstGeom>
                    <a:noFill/>
                    <a:ln>
                      <a:noFill/>
                    </a:ln>
                  </pic:spPr>
                </pic:pic>
              </a:graphicData>
            </a:graphic>
          </wp:inline>
        </w:drawing>
      </w:r>
    </w:p>
    <w:p w:rsidR="00E04EF1" w:rsidRPr="00525121" w:rsidRDefault="00E04EF1" w:rsidP="00E04EF1">
      <w:r w:rsidRPr="00525121">
        <w:t xml:space="preserve">Las participaciones </w:t>
      </w:r>
      <w:r w:rsidRPr="000A43C0">
        <w:t xml:space="preserve">federales que se transfirieron a los municipios al mes de </w:t>
      </w:r>
      <w:r>
        <w:t>septiembre</w:t>
      </w:r>
      <w:r w:rsidRPr="000A43C0">
        <w:t xml:space="preserve"> de 2020</w:t>
      </w:r>
      <w:r>
        <w:t>,</w:t>
      </w:r>
      <w:r w:rsidRPr="000A43C0">
        <w:t xml:space="preserve"> ascienden a un total de </w:t>
      </w:r>
      <w:r>
        <w:t>3</w:t>
      </w:r>
      <w:r w:rsidRPr="000A43C0">
        <w:t xml:space="preserve"> mil </w:t>
      </w:r>
      <w:r>
        <w:t>848.6</w:t>
      </w:r>
      <w:r w:rsidRPr="000A43C0">
        <w:t xml:space="preserve"> millones de</w:t>
      </w:r>
      <w:r w:rsidRPr="00525121">
        <w:t xml:space="preserve"> pesos; mientras</w:t>
      </w:r>
      <w:r>
        <w:t xml:space="preserve"> que, en el mismo periodo de 2019</w:t>
      </w:r>
      <w:r w:rsidRPr="00525121">
        <w:t xml:space="preserve">, la cantidad transferida </w:t>
      </w:r>
      <w:r>
        <w:t>por este mismo concepto fue de 3 mil 912.5</w:t>
      </w:r>
      <w:r w:rsidRPr="00525121">
        <w:t xml:space="preserve"> millones de pesos, lo </w:t>
      </w:r>
      <w:r>
        <w:t xml:space="preserve">cual </w:t>
      </w:r>
      <w:r w:rsidR="007F0A36">
        <w:t>representa un</w:t>
      </w:r>
      <w:r>
        <w:t xml:space="preserve"> descenso</w:t>
      </w:r>
      <w:r w:rsidRPr="000A43C0">
        <w:t xml:space="preserve"> en términos reales de </w:t>
      </w:r>
      <w:r>
        <w:t>5.4</w:t>
      </w:r>
      <w:r w:rsidRPr="000A43C0">
        <w:t>%.</w:t>
      </w:r>
    </w:p>
    <w:p w:rsidR="00E04EF1" w:rsidRDefault="00E04EF1" w:rsidP="00E04EF1">
      <w:pPr>
        <w:tabs>
          <w:tab w:val="left" w:pos="7769"/>
        </w:tabs>
      </w:pPr>
    </w:p>
    <w:p w:rsidR="00E04EF1" w:rsidRDefault="00E04EF1" w:rsidP="00E04EF1">
      <w:pPr>
        <w:tabs>
          <w:tab w:val="left" w:pos="7769"/>
        </w:tabs>
        <w:rPr>
          <w:rFonts w:ascii="Arial" w:hAnsi="Arial" w:cs="Arial"/>
          <w:szCs w:val="24"/>
        </w:rPr>
      </w:pPr>
      <w:r>
        <w:t>Durante el tercer trimestre de 2020, e</w:t>
      </w:r>
      <w:r w:rsidRPr="00F018D0">
        <w:t>l Fondo de Aportaciones para el Fortalecimiento Municipal (FORTAMUN) present</w:t>
      </w:r>
      <w:r>
        <w:t>a</w:t>
      </w:r>
      <w:r w:rsidRPr="00F018D0">
        <w:t xml:space="preserve"> </w:t>
      </w:r>
      <w:r w:rsidR="007F0A36" w:rsidRPr="00F018D0">
        <w:t>un</w:t>
      </w:r>
      <w:r w:rsidR="007F0A36">
        <w:t>a</w:t>
      </w:r>
      <w:r w:rsidR="007F0A36" w:rsidRPr="002B4BBE">
        <w:t xml:space="preserve"> baja</w:t>
      </w:r>
      <w:r w:rsidRPr="002B4BBE">
        <w:t xml:space="preserve"> real de </w:t>
      </w:r>
      <w:r>
        <w:t>1.0</w:t>
      </w:r>
      <w:r w:rsidRPr="002B4BBE">
        <w:t>%, mientras</w:t>
      </w:r>
      <w:r>
        <w:t xml:space="preserve"> que en el mismo periodo e</w:t>
      </w:r>
      <w:r w:rsidRPr="00F018D0">
        <w:t xml:space="preserve">l </w:t>
      </w:r>
      <w:r w:rsidRPr="005C136F">
        <w:t xml:space="preserve">Fondo de Infraestructura Social Municipal y de las demarcaciones territoriales del Distrito Federal </w:t>
      </w:r>
      <w:r>
        <w:t>(F</w:t>
      </w:r>
      <w:r w:rsidRPr="00F018D0">
        <w:t>IS</w:t>
      </w:r>
      <w:r>
        <w:t>MDF</w:t>
      </w:r>
      <w:r w:rsidRPr="00F018D0">
        <w:t xml:space="preserve">) </w:t>
      </w:r>
      <w:r>
        <w:t xml:space="preserve">registra </w:t>
      </w:r>
      <w:r w:rsidR="007F0A36" w:rsidRPr="00F018D0">
        <w:t>un</w:t>
      </w:r>
      <w:r w:rsidR="007F0A36">
        <w:t>a</w:t>
      </w:r>
      <w:r w:rsidR="007F0A36" w:rsidRPr="005C136F">
        <w:t xml:space="preserve"> caída</w:t>
      </w:r>
      <w:r w:rsidRPr="005C136F">
        <w:t xml:space="preserve"> en términos reales de 5.</w:t>
      </w:r>
      <w:r>
        <w:t>7</w:t>
      </w:r>
      <w:r w:rsidRPr="005C136F">
        <w:t>%.</w:t>
      </w:r>
    </w:p>
    <w:p w:rsidR="00E04EF1" w:rsidRDefault="00E04EF1" w:rsidP="00E04EF1">
      <w:pPr>
        <w:spacing w:after="240"/>
        <w:jc w:val="center"/>
      </w:pPr>
      <w:r w:rsidRPr="00FB1131">
        <w:rPr>
          <w:noProof/>
          <w:lang w:eastAsia="es-MX"/>
        </w:rPr>
        <w:lastRenderedPageBreak/>
        <w:drawing>
          <wp:inline distT="0" distB="0" distL="0" distR="0">
            <wp:extent cx="4447429" cy="3981450"/>
            <wp:effectExtent l="0" t="0" r="0" b="0"/>
            <wp:docPr id="2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3781" cy="3996089"/>
                    </a:xfrm>
                    <a:prstGeom prst="rect">
                      <a:avLst/>
                    </a:prstGeom>
                    <a:noFill/>
                    <a:ln>
                      <a:noFill/>
                    </a:ln>
                  </pic:spPr>
                </pic:pic>
              </a:graphicData>
            </a:graphic>
          </wp:inline>
        </w:drawing>
      </w:r>
      <w:r w:rsidRPr="00FB1131">
        <w:rPr>
          <w:noProof/>
          <w:lang w:eastAsia="es-MX"/>
        </w:rPr>
        <w:drawing>
          <wp:inline distT="0" distB="0" distL="0" distR="0">
            <wp:extent cx="4467225" cy="4276514"/>
            <wp:effectExtent l="0" t="0" r="0" b="0"/>
            <wp:docPr id="3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2084" cy="4300311"/>
                    </a:xfrm>
                    <a:prstGeom prst="rect">
                      <a:avLst/>
                    </a:prstGeom>
                    <a:noFill/>
                    <a:ln>
                      <a:noFill/>
                    </a:ln>
                  </pic:spPr>
                </pic:pic>
              </a:graphicData>
            </a:graphic>
          </wp:inline>
        </w:drawing>
      </w:r>
    </w:p>
    <w:p w:rsidR="00E04EF1" w:rsidRDefault="00E04EF1" w:rsidP="00E04EF1">
      <w:pPr>
        <w:tabs>
          <w:tab w:val="left" w:pos="5292"/>
        </w:tabs>
      </w:pPr>
      <w:r>
        <w:rPr>
          <w:rFonts w:ascii="Arial" w:hAnsi="Arial" w:cs="Arial"/>
          <w:szCs w:val="24"/>
        </w:rPr>
        <w:lastRenderedPageBreak/>
        <w:tab/>
      </w:r>
      <w:r w:rsidRPr="00FB1131">
        <w:rPr>
          <w:noProof/>
          <w:lang w:eastAsia="es-MX"/>
        </w:rPr>
        <w:drawing>
          <wp:inline distT="0" distB="0" distL="0" distR="0">
            <wp:extent cx="5508671" cy="5105400"/>
            <wp:effectExtent l="0" t="0" r="0"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1998" cy="5108483"/>
                    </a:xfrm>
                    <a:prstGeom prst="rect">
                      <a:avLst/>
                    </a:prstGeom>
                    <a:noFill/>
                    <a:ln>
                      <a:noFill/>
                    </a:ln>
                  </pic:spPr>
                </pic:pic>
              </a:graphicData>
            </a:graphic>
          </wp:inline>
        </w:drawing>
      </w:r>
    </w:p>
    <w:p w:rsidR="00E04EF1" w:rsidRDefault="00E04EF1" w:rsidP="00E04EF1"/>
    <w:p w:rsidR="00E04EF1" w:rsidRDefault="00E04EF1" w:rsidP="00E04EF1">
      <w:r w:rsidRPr="00525121">
        <w:t>Por su parte los recursos que la Entidad transfiere a los Municipios en los términos que indica la Ley de Coordinación Fiscal del Estado de Sinaloa como Participaciones Estatales,</w:t>
      </w:r>
      <w:r>
        <w:t xml:space="preserve"> al mes de septiembre de 2020,</w:t>
      </w:r>
      <w:r w:rsidRPr="00525121">
        <w:t xml:space="preserve"> ascendieron a </w:t>
      </w:r>
      <w:r>
        <w:t>13.8</w:t>
      </w:r>
      <w:r w:rsidRPr="00525121">
        <w:t xml:space="preserve"> millones de pesos, que en comparación a los distribuidos </w:t>
      </w:r>
      <w:r>
        <w:t>durante el mismo periodo de 2019</w:t>
      </w:r>
      <w:r w:rsidRPr="00525121">
        <w:t>, observa</w:t>
      </w:r>
      <w:r>
        <w:t>n un de</w:t>
      </w:r>
      <w:r w:rsidRPr="0048298B">
        <w:t>crecimiento</w:t>
      </w:r>
      <w:r>
        <w:t xml:space="preserve"> real de22</w:t>
      </w:r>
      <w:r w:rsidRPr="0048298B">
        <w:t>.</w:t>
      </w:r>
      <w:r>
        <w:t>4</w:t>
      </w:r>
      <w:r w:rsidRPr="0048298B">
        <w:t>%, lo</w:t>
      </w:r>
      <w:r>
        <w:t xml:space="preserve"> anterior obedece  principalmente a que las participaciones estatales por concepto del Impuesto sobre tenencia o uso de vehículos se reducen año con año, derivado de las reformas a la Ley de Hacienda del Estado de Sinaloa, aplicadas a partir del primero de enero del 2018, en las cuales se eliminó este impuesto.</w:t>
      </w:r>
    </w:p>
    <w:p w:rsidR="00E04EF1" w:rsidRDefault="00E04EF1" w:rsidP="00E04EF1"/>
    <w:p w:rsidR="00E04EF1" w:rsidRDefault="00E04EF1" w:rsidP="00E04EF1"/>
    <w:p w:rsidR="00E04EF1" w:rsidRDefault="00E04EF1" w:rsidP="00E04EF1"/>
    <w:p w:rsidR="00E04EF1" w:rsidRPr="0057763D" w:rsidRDefault="00E04EF1" w:rsidP="00E04EF1">
      <w:pPr>
        <w:jc w:val="center"/>
        <w:rPr>
          <w:b/>
        </w:rPr>
      </w:pPr>
    </w:p>
    <w:p w:rsidR="00E04EF1" w:rsidRPr="0057763D" w:rsidRDefault="00E04EF1" w:rsidP="00E04EF1">
      <w:pPr>
        <w:jc w:val="center"/>
        <w:rPr>
          <w:b/>
        </w:rPr>
      </w:pPr>
      <w:r w:rsidRPr="0041314A">
        <w:rPr>
          <w:noProof/>
          <w:lang w:eastAsia="es-MX"/>
        </w:rPr>
        <w:drawing>
          <wp:inline distT="0" distB="0" distL="0" distR="0">
            <wp:extent cx="5612130" cy="5099050"/>
            <wp:effectExtent l="0" t="0" r="7620" b="6350"/>
            <wp:docPr id="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5099050"/>
                    </a:xfrm>
                    <a:prstGeom prst="rect">
                      <a:avLst/>
                    </a:prstGeom>
                    <a:noFill/>
                    <a:ln>
                      <a:noFill/>
                    </a:ln>
                  </pic:spPr>
                </pic:pic>
              </a:graphicData>
            </a:graphic>
          </wp:inline>
        </w:drawing>
      </w:r>
    </w:p>
    <w:p w:rsidR="00E04EF1" w:rsidRPr="00525121" w:rsidRDefault="007F0A36" w:rsidP="00E04EF1">
      <w:r w:rsidRPr="00D5272F">
        <w:t>Al</w:t>
      </w:r>
      <w:r>
        <w:t xml:space="preserve"> tercer</w:t>
      </w:r>
      <w:r w:rsidR="00E04EF1">
        <w:t xml:space="preserve"> trimestre de 2020, de</w:t>
      </w:r>
      <w:r w:rsidR="00E04EF1" w:rsidRPr="00525121">
        <w:t xml:space="preserve"> los recursos que  la Entidad ha recibido de la Federación en los términos del Artículo 3-B de la Ley de Coordinación Fiscal, se le han transferido a los municipios un importe </w:t>
      </w:r>
      <w:r w:rsidR="00E04EF1">
        <w:t xml:space="preserve">total </w:t>
      </w:r>
      <w:r w:rsidR="00E04EF1" w:rsidRPr="00525121">
        <w:t xml:space="preserve">de </w:t>
      </w:r>
      <w:r w:rsidR="00E04EF1">
        <w:t>201.6</w:t>
      </w:r>
      <w:r w:rsidR="00E04EF1" w:rsidRPr="00525121">
        <w:t xml:space="preserve"> millones</w:t>
      </w:r>
      <w:r w:rsidR="00E04EF1">
        <w:t xml:space="preserve"> de pesos</w:t>
      </w:r>
      <w:r w:rsidR="00E04EF1" w:rsidRPr="00525121">
        <w:t>, sin embargo</w:t>
      </w:r>
      <w:r w:rsidR="00E04EF1">
        <w:t>,</w:t>
      </w:r>
      <w:r w:rsidR="00E04EF1" w:rsidRPr="00525121">
        <w:t xml:space="preserve"> du</w:t>
      </w:r>
      <w:r w:rsidR="00E04EF1">
        <w:t xml:space="preserve">rante el mismo periodo de 2019, se </w:t>
      </w:r>
      <w:r w:rsidR="00E04EF1" w:rsidRPr="00525121">
        <w:t xml:space="preserve">observaron radicaciones por </w:t>
      </w:r>
      <w:r w:rsidR="00E04EF1">
        <w:t>181.2</w:t>
      </w:r>
      <w:r w:rsidR="00E04EF1" w:rsidRPr="00525121">
        <w:t xml:space="preserve"> millones de pesos </w:t>
      </w:r>
      <w:r w:rsidR="00E04EF1">
        <w:t xml:space="preserve">por </w:t>
      </w:r>
      <w:r w:rsidR="00E04EF1" w:rsidRPr="00525121">
        <w:t xml:space="preserve">este concepto, esto se debe a una constante plática con los municipios por parte de la </w:t>
      </w:r>
      <w:r w:rsidR="00E04EF1">
        <w:t>Secretaría de Administración y F</w:t>
      </w:r>
      <w:r w:rsidR="00E04EF1" w:rsidRPr="00525121">
        <w:t xml:space="preserve">inanzas a través de la Subsecretaría de Ingresos, para que aprovechen el </w:t>
      </w:r>
      <w:r w:rsidR="00E04EF1">
        <w:t>incentivo</w:t>
      </w:r>
      <w:r w:rsidR="00E04EF1" w:rsidRPr="00525121">
        <w:t xml:space="preserve"> fiscal que la Ley de Coordinación Fiscal establece.</w:t>
      </w:r>
    </w:p>
    <w:p w:rsidR="00507A47" w:rsidRDefault="00507A47">
      <w:pPr>
        <w:spacing w:after="0" w:line="240" w:lineRule="auto"/>
        <w:jc w:val="left"/>
        <w:rPr>
          <w:rFonts w:asciiTheme="minorHAnsi" w:eastAsia="Times New Roman" w:hAnsiTheme="minorHAnsi" w:cstheme="minorHAnsi"/>
          <w:b/>
          <w:bCs/>
          <w:color w:val="262626"/>
        </w:rPr>
      </w:pPr>
      <w:r>
        <w:rPr>
          <w:rFonts w:asciiTheme="minorHAnsi" w:eastAsia="Times New Roman" w:hAnsiTheme="minorHAnsi" w:cstheme="minorHAnsi"/>
          <w:b/>
          <w:bCs/>
          <w:color w:val="262626"/>
        </w:rPr>
        <w:br w:type="page"/>
      </w:r>
    </w:p>
    <w:p w:rsidR="000F44B2" w:rsidRPr="00B92ABA" w:rsidRDefault="000F44B2" w:rsidP="00B92ABA">
      <w:pPr>
        <w:pStyle w:val="Ttulo3"/>
        <w:spacing w:after="240"/>
        <w:rPr>
          <w:rFonts w:asciiTheme="minorHAnsi" w:hAnsiTheme="minorHAnsi" w:cstheme="minorHAnsi"/>
        </w:rPr>
      </w:pPr>
      <w:bookmarkStart w:id="67" w:name="_Toc55491772"/>
      <w:r w:rsidRPr="009B65F8">
        <w:rPr>
          <w:rFonts w:asciiTheme="minorHAnsi" w:hAnsiTheme="minorHAnsi" w:cstheme="minorHAnsi"/>
        </w:rPr>
        <w:lastRenderedPageBreak/>
        <w:t>2.2. Gasto Público</w:t>
      </w:r>
      <w:bookmarkEnd w:id="30"/>
      <w:bookmarkEnd w:id="67"/>
    </w:p>
    <w:p w:rsidR="00795434" w:rsidRPr="00795434" w:rsidRDefault="00795434" w:rsidP="00795434">
      <w:pPr>
        <w:autoSpaceDE w:val="0"/>
        <w:autoSpaceDN w:val="0"/>
        <w:adjustRightInd w:val="0"/>
      </w:pPr>
      <w:r w:rsidRPr="00795434">
        <w:t xml:space="preserve">El ejercicio del gasto público comprende las erogaciones efectuadas por Gobierno del Estado para llevar a cabo sus funciones; la distribución del gasto se realiza en función de las necesidades más urgentes de la población y la atención a sectores prioritarios bajo las disposiciones de disciplina fiscal, transparencia y austeridad señaladas en la Ley de Presupuesto y Responsabilidad Hacendaria del Estado de Sinaloa y normatividad vigente. </w:t>
      </w:r>
    </w:p>
    <w:p w:rsidR="00795434" w:rsidRPr="00795434" w:rsidRDefault="00795434" w:rsidP="00795434">
      <w:pPr>
        <w:autoSpaceDE w:val="0"/>
        <w:autoSpaceDN w:val="0"/>
        <w:adjustRightInd w:val="0"/>
      </w:pPr>
      <w:r w:rsidRPr="00795434">
        <w:t xml:space="preserve">El objetivo de la presente administración es procurar una adecuada asignación de los recursos económicos, humanos y materiales de forma que se garantice la racionalidad presupuestaria y se eficientice su aplicación; así mismo, se promueve el establecimiento de un orden en las estructuras de trabajo, la promoción de capacitación, proyectos de mejora continua y la optimización de los procesos necesarios para brindar atención oportuna a la ciudadanía.  </w:t>
      </w:r>
    </w:p>
    <w:p w:rsidR="004821C2" w:rsidRPr="00E21F3C" w:rsidRDefault="00795434" w:rsidP="00795434">
      <w:r w:rsidRPr="00795434">
        <w:t>En el marco de la declaratoria de emergencia de salud pública a nivel mundial, el Gobierno del Estado de Sinaloa reconoce la responsabilidad de orientar el gasto a proyectos y programas que brinden certeza a la población, con el fin de garantizar</w:t>
      </w:r>
      <w:r w:rsidRPr="004F666B">
        <w:t xml:space="preserve"> el </w:t>
      </w:r>
      <w:r w:rsidRPr="00795434">
        <w:t>acceso a servicios básicos como salud, asistencia social, empleo, alimentación, seguridad y educación.</w:t>
      </w:r>
    </w:p>
    <w:p w:rsidR="004821C2" w:rsidRDefault="004821C2" w:rsidP="00795434">
      <w:pPr>
        <w:pStyle w:val="Ttulo3"/>
        <w:spacing w:after="160"/>
        <w:rPr>
          <w:rFonts w:asciiTheme="minorHAnsi" w:hAnsiTheme="minorHAnsi" w:cstheme="minorHAnsi"/>
        </w:rPr>
      </w:pPr>
      <w:bookmarkStart w:id="68" w:name="_Toc55491773"/>
      <w:r w:rsidRPr="00B92ABA">
        <w:rPr>
          <w:rFonts w:asciiTheme="minorHAnsi" w:hAnsiTheme="minorHAnsi" w:cstheme="minorHAnsi"/>
        </w:rPr>
        <w:t>2.2.1 Gasto Neto Total</w:t>
      </w:r>
      <w:bookmarkEnd w:id="68"/>
    </w:p>
    <w:p w:rsidR="00795434" w:rsidRPr="004F666B" w:rsidRDefault="00795434" w:rsidP="00795434">
      <w:pPr>
        <w:autoSpaceDE w:val="0"/>
        <w:autoSpaceDN w:val="0"/>
        <w:adjustRightInd w:val="0"/>
        <w:spacing w:after="0"/>
        <w:rPr>
          <w:szCs w:val="24"/>
        </w:rPr>
      </w:pPr>
      <w:r w:rsidRPr="004F666B">
        <w:rPr>
          <w:szCs w:val="24"/>
        </w:rPr>
        <w:t xml:space="preserve">Se detalla el ejercicio del gasto público bajo tres clasificaciones; la primera de ellas es la administrativa, que identifica los recursos devengados por el Poder Ejecutivo, Legislativo y Judicial, así como los montos correspondientes a los Órganos Autónomos, la Deuda Pública y Transferencias a Municipios; por </w:t>
      </w:r>
      <w:r>
        <w:rPr>
          <w:szCs w:val="24"/>
        </w:rPr>
        <w:t>otra</w:t>
      </w:r>
      <w:r w:rsidRPr="004F666B">
        <w:rPr>
          <w:szCs w:val="24"/>
        </w:rPr>
        <w:t xml:space="preserve"> parte se cuenta con la clasificación económica que ordena los recursos según su naturaleza por tipo y capítulo; y finalmente, la clasificación funcional que se refiere a las actividades mediante las que se aplican las erogaciones.</w:t>
      </w: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line="360" w:lineRule="auto"/>
        <w:jc w:val="center"/>
        <w:rPr>
          <w:szCs w:val="24"/>
        </w:rPr>
      </w:pPr>
      <w:r w:rsidRPr="004F666B">
        <w:rPr>
          <w:noProof/>
          <w:lang w:eastAsia="es-MX"/>
        </w:rPr>
        <w:lastRenderedPageBreak/>
        <w:drawing>
          <wp:inline distT="0" distB="0" distL="0" distR="0">
            <wp:extent cx="5001260" cy="2981960"/>
            <wp:effectExtent l="0" t="0" r="0" b="0"/>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01260" cy="2981960"/>
                    </a:xfrm>
                    <a:prstGeom prst="rect">
                      <a:avLst/>
                    </a:prstGeom>
                    <a:noFill/>
                    <a:ln>
                      <a:noFill/>
                    </a:ln>
                  </pic:spPr>
                </pic:pic>
              </a:graphicData>
            </a:graphic>
          </wp:inline>
        </w:drawing>
      </w:r>
    </w:p>
    <w:p w:rsidR="004821C2" w:rsidRPr="00B92ABA" w:rsidRDefault="004821C2" w:rsidP="00B92ABA">
      <w:pPr>
        <w:pStyle w:val="Ttulo3"/>
        <w:spacing w:after="240"/>
        <w:rPr>
          <w:rFonts w:asciiTheme="minorHAnsi" w:hAnsiTheme="minorHAnsi" w:cstheme="minorHAnsi"/>
        </w:rPr>
      </w:pPr>
      <w:bookmarkStart w:id="69" w:name="_Toc55491774"/>
      <w:r w:rsidRPr="00B92ABA">
        <w:rPr>
          <w:rFonts w:asciiTheme="minorHAnsi" w:hAnsiTheme="minorHAnsi" w:cstheme="minorHAnsi"/>
        </w:rPr>
        <w:t>2.2.2 Clasificación Administrativa</w:t>
      </w:r>
      <w:bookmarkEnd w:id="69"/>
    </w:p>
    <w:p w:rsidR="00795434" w:rsidRPr="004F666B" w:rsidRDefault="00795434" w:rsidP="00795434">
      <w:pPr>
        <w:autoSpaceDE w:val="0"/>
        <w:autoSpaceDN w:val="0"/>
        <w:adjustRightInd w:val="0"/>
        <w:rPr>
          <w:szCs w:val="24"/>
        </w:rPr>
      </w:pPr>
      <w:r w:rsidRPr="004F666B">
        <w:rPr>
          <w:szCs w:val="24"/>
        </w:rPr>
        <w:t xml:space="preserve">Al concluir el tercer trimestre de 2020 el gasto neto total ascendió a 41 mil 161 millones de pesos; de ese monto 32 mil 222 millones de pesos corresponden al </w:t>
      </w:r>
      <w:r w:rsidRPr="004F666B">
        <w:rPr>
          <w:i/>
          <w:szCs w:val="24"/>
        </w:rPr>
        <w:t>Poder Ejecutivo</w:t>
      </w:r>
      <w:r w:rsidRPr="004F666B">
        <w:rPr>
          <w:szCs w:val="24"/>
        </w:rPr>
        <w:t xml:space="preserve">; el </w:t>
      </w:r>
      <w:r w:rsidRPr="00143565">
        <w:rPr>
          <w:i/>
          <w:szCs w:val="24"/>
        </w:rPr>
        <w:t>Poder Legislativo</w:t>
      </w:r>
      <w:r w:rsidRPr="004F666B">
        <w:rPr>
          <w:szCs w:val="24"/>
        </w:rPr>
        <w:t xml:space="preserve"> ejerció 317 millones de pesos; 492 millones de pesos en el </w:t>
      </w:r>
      <w:r w:rsidRPr="004F666B">
        <w:rPr>
          <w:i/>
          <w:szCs w:val="24"/>
        </w:rPr>
        <w:t>Poder Judicial</w:t>
      </w:r>
      <w:r w:rsidRPr="004F666B">
        <w:rPr>
          <w:szCs w:val="24"/>
        </w:rPr>
        <w:t xml:space="preserve"> y 6 mil 829 millones de pesos corresponden a </w:t>
      </w:r>
      <w:r w:rsidRPr="004F666B">
        <w:rPr>
          <w:i/>
          <w:szCs w:val="24"/>
        </w:rPr>
        <w:t>Transferencias a Municipios</w:t>
      </w:r>
      <w:r w:rsidRPr="004F666B">
        <w:rPr>
          <w:szCs w:val="24"/>
        </w:rPr>
        <w:t xml:space="preserve">.  </w:t>
      </w:r>
    </w:p>
    <w:p w:rsidR="00795434" w:rsidRPr="004F666B" w:rsidRDefault="00795434" w:rsidP="00795434">
      <w:pPr>
        <w:autoSpaceDE w:val="0"/>
        <w:autoSpaceDN w:val="0"/>
        <w:adjustRightInd w:val="0"/>
        <w:rPr>
          <w:szCs w:val="24"/>
        </w:rPr>
      </w:pPr>
      <w:r w:rsidRPr="004F666B">
        <w:rPr>
          <w:szCs w:val="24"/>
        </w:rPr>
        <w:t xml:space="preserve">Los </w:t>
      </w:r>
      <w:r w:rsidRPr="004F666B">
        <w:rPr>
          <w:i/>
          <w:szCs w:val="24"/>
        </w:rPr>
        <w:t xml:space="preserve">Órganos Autónomos </w:t>
      </w:r>
      <w:r w:rsidRPr="004F666B">
        <w:rPr>
          <w:szCs w:val="24"/>
        </w:rPr>
        <w:t xml:space="preserve">registraron un ejercido devengado de 900 millones de pesos, de los cuales 653 millones de pesos corresponden a la Fiscalía General del Estado; 92 millones de pesos pertenecen al Financiamiento a Partidos Políticos y 72 millones de pesos se devengaron por Organismos Electorales.  </w:t>
      </w:r>
    </w:p>
    <w:p w:rsidR="00795434" w:rsidRPr="004F666B" w:rsidRDefault="00795434" w:rsidP="00795434">
      <w:pPr>
        <w:autoSpaceDE w:val="0"/>
        <w:autoSpaceDN w:val="0"/>
        <w:adjustRightInd w:val="0"/>
        <w:spacing w:after="0" w:line="360" w:lineRule="auto"/>
        <w:rPr>
          <w:szCs w:val="24"/>
        </w:rPr>
      </w:pPr>
      <w:r w:rsidRPr="004F666B">
        <w:rPr>
          <w:noProof/>
          <w:lang w:eastAsia="es-MX"/>
        </w:rPr>
        <w:lastRenderedPageBreak/>
        <w:drawing>
          <wp:inline distT="0" distB="0" distL="0" distR="0">
            <wp:extent cx="5612130" cy="3600450"/>
            <wp:effectExtent l="0" t="0" r="0" b="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2130" cy="3600450"/>
                    </a:xfrm>
                    <a:prstGeom prst="rect">
                      <a:avLst/>
                    </a:prstGeom>
                    <a:noFill/>
                    <a:ln>
                      <a:noFill/>
                    </a:ln>
                  </pic:spPr>
                </pic:pic>
              </a:graphicData>
            </a:graphic>
          </wp:inline>
        </w:drawing>
      </w:r>
    </w:p>
    <w:p w:rsidR="00795434" w:rsidRPr="004F666B" w:rsidRDefault="00795434" w:rsidP="00795434">
      <w:pPr>
        <w:autoSpaceDE w:val="0"/>
        <w:autoSpaceDN w:val="0"/>
        <w:adjustRightInd w:val="0"/>
        <w:spacing w:after="0" w:line="360" w:lineRule="auto"/>
        <w:rPr>
          <w:szCs w:val="24"/>
        </w:rPr>
      </w:pPr>
    </w:p>
    <w:p w:rsidR="00795434" w:rsidRPr="004F666B" w:rsidRDefault="00795434" w:rsidP="00795434">
      <w:pPr>
        <w:autoSpaceDE w:val="0"/>
        <w:autoSpaceDN w:val="0"/>
        <w:adjustRightInd w:val="0"/>
        <w:spacing w:after="0"/>
        <w:rPr>
          <w:szCs w:val="24"/>
        </w:rPr>
      </w:pPr>
      <w:r w:rsidRPr="004F666B">
        <w:rPr>
          <w:szCs w:val="24"/>
        </w:rPr>
        <w:t>Asimismo, se ejercieron 38 millones de pesos por el Tribunal de Justicia Administrativa del Estado de Sinaloa; 21 millones de pesos corresponden a la Comisión Estatal de Derechos Humanos; 20 millones de pesos de la Comisión Estatal para el Acceso a la Información Pública y finalmente, 4 millones de pesos fueron devengados por el Tribunal Local de Conciliación y Arbitraje.</w:t>
      </w:r>
    </w:p>
    <w:p w:rsidR="004821C2" w:rsidRPr="00840E95" w:rsidRDefault="004821C2" w:rsidP="004821C2">
      <w:pPr>
        <w:rPr>
          <w:color w:val="C9C2BA"/>
          <w:sz w:val="14"/>
        </w:rPr>
      </w:pPr>
    </w:p>
    <w:p w:rsidR="004821C2" w:rsidRPr="00B92ABA" w:rsidRDefault="004821C2" w:rsidP="00B92ABA">
      <w:pPr>
        <w:pStyle w:val="Ttulo3"/>
        <w:spacing w:after="240"/>
        <w:rPr>
          <w:rFonts w:asciiTheme="minorHAnsi" w:hAnsiTheme="minorHAnsi" w:cstheme="minorHAnsi"/>
        </w:rPr>
      </w:pPr>
      <w:bookmarkStart w:id="70" w:name="_Toc55491775"/>
      <w:r w:rsidRPr="00B92ABA">
        <w:rPr>
          <w:rFonts w:asciiTheme="minorHAnsi" w:hAnsiTheme="minorHAnsi" w:cstheme="minorHAnsi"/>
        </w:rPr>
        <w:t xml:space="preserve">2.2.3 Clasificación Económica </w:t>
      </w:r>
      <w:bookmarkEnd w:id="70"/>
    </w:p>
    <w:p w:rsidR="00795434" w:rsidRPr="004F666B" w:rsidRDefault="00795434" w:rsidP="00795434">
      <w:pPr>
        <w:autoSpaceDE w:val="0"/>
        <w:autoSpaceDN w:val="0"/>
        <w:adjustRightInd w:val="0"/>
        <w:spacing w:after="0"/>
        <w:rPr>
          <w:szCs w:val="24"/>
        </w:rPr>
      </w:pPr>
      <w:r w:rsidRPr="004F666B">
        <w:rPr>
          <w:szCs w:val="24"/>
        </w:rPr>
        <w:t xml:space="preserve">Los gastos de operación y consumo, así como los arrendamientos y transferencias otorgadas a otras instituciones, forman parte del Gasto Corriente. Al 30 de septiembre de 2020 este gasto  presentó un ejercicio de 29 mil 323 millones de pesos, de los cuales 3 mil 985 millones de pesos corresponden al capítulo de Servicios Personales donde se considera el pago de sueldos y prestaciones al personal; 270 millones de pesos se ejercieron en el concepto de Materiales y Suministros; y en el caso de Servicios Generales, se devengaron 1 mil 275 millones de pesos. </w:t>
      </w:r>
    </w:p>
    <w:p w:rsidR="00795434" w:rsidRPr="004F666B" w:rsidRDefault="00795434" w:rsidP="00795434">
      <w:pPr>
        <w:autoSpaceDE w:val="0"/>
        <w:autoSpaceDN w:val="0"/>
        <w:adjustRightInd w:val="0"/>
        <w:spacing w:after="0" w:line="360" w:lineRule="auto"/>
        <w:rPr>
          <w:sz w:val="10"/>
          <w:szCs w:val="10"/>
        </w:rPr>
      </w:pPr>
    </w:p>
    <w:p w:rsidR="00795434" w:rsidRDefault="00795434" w:rsidP="00795434">
      <w:pPr>
        <w:autoSpaceDE w:val="0"/>
        <w:autoSpaceDN w:val="0"/>
        <w:adjustRightInd w:val="0"/>
        <w:spacing w:after="0" w:line="360" w:lineRule="auto"/>
        <w:jc w:val="center"/>
        <w:rPr>
          <w:noProof/>
          <w:lang w:eastAsia="es-MX"/>
        </w:rPr>
      </w:pPr>
    </w:p>
    <w:p w:rsidR="00795434" w:rsidRPr="004F666B" w:rsidRDefault="00795434" w:rsidP="00795434">
      <w:pPr>
        <w:autoSpaceDE w:val="0"/>
        <w:autoSpaceDN w:val="0"/>
        <w:adjustRightInd w:val="0"/>
        <w:spacing w:after="0" w:line="360" w:lineRule="auto"/>
        <w:jc w:val="center"/>
        <w:rPr>
          <w:szCs w:val="24"/>
        </w:rPr>
      </w:pPr>
      <w:r w:rsidRPr="0059795B">
        <w:rPr>
          <w:noProof/>
          <w:szCs w:val="24"/>
          <w:lang w:eastAsia="es-MX"/>
        </w:rPr>
        <w:lastRenderedPageBreak/>
        <w:drawing>
          <wp:inline distT="0" distB="0" distL="0" distR="0">
            <wp:extent cx="5612130" cy="5719478"/>
            <wp:effectExtent l="19050" t="0" r="7620"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612130" cy="5719478"/>
                    </a:xfrm>
                    <a:prstGeom prst="rect">
                      <a:avLst/>
                    </a:prstGeom>
                    <a:noFill/>
                    <a:ln w="9525">
                      <a:noFill/>
                      <a:miter lim="800000"/>
                      <a:headEnd/>
                      <a:tailEnd/>
                    </a:ln>
                  </pic:spPr>
                </pic:pic>
              </a:graphicData>
            </a:graphic>
          </wp:inline>
        </w:drawing>
      </w:r>
    </w:p>
    <w:p w:rsidR="00795434" w:rsidRPr="004F666B" w:rsidRDefault="00795434" w:rsidP="00795434">
      <w:pPr>
        <w:autoSpaceDE w:val="0"/>
        <w:autoSpaceDN w:val="0"/>
        <w:adjustRightInd w:val="0"/>
        <w:spacing w:after="0" w:line="360" w:lineRule="auto"/>
        <w:rPr>
          <w:sz w:val="16"/>
          <w:szCs w:val="16"/>
        </w:rPr>
      </w:pPr>
    </w:p>
    <w:p w:rsidR="00795434" w:rsidRPr="004F666B" w:rsidRDefault="00795434" w:rsidP="00795434">
      <w:pPr>
        <w:autoSpaceDE w:val="0"/>
        <w:autoSpaceDN w:val="0"/>
        <w:adjustRightInd w:val="0"/>
        <w:spacing w:after="0"/>
        <w:rPr>
          <w:rFonts w:cstheme="minorHAnsi"/>
          <w:szCs w:val="24"/>
        </w:rPr>
      </w:pPr>
      <w:r w:rsidRPr="004F666B">
        <w:rPr>
          <w:szCs w:val="24"/>
        </w:rPr>
        <w:t>Las Transferencias, Asignaciones, Subsidios y Otras Ayudas ejercieron 21 mil 099 millones de pesos, mismos que a su vez se agrupan de la siguiente manera:</w:t>
      </w:r>
    </w:p>
    <w:p w:rsidR="00795434" w:rsidRPr="004F666B" w:rsidRDefault="00795434" w:rsidP="00795434">
      <w:pPr>
        <w:autoSpaceDE w:val="0"/>
        <w:autoSpaceDN w:val="0"/>
        <w:adjustRightInd w:val="0"/>
        <w:spacing w:after="0"/>
        <w:rPr>
          <w:rFonts w:cstheme="minorHAnsi"/>
          <w:szCs w:val="24"/>
        </w:rPr>
      </w:pPr>
    </w:p>
    <w:p w:rsidR="00795434" w:rsidRPr="004F666B" w:rsidRDefault="00795434" w:rsidP="00795434">
      <w:pPr>
        <w:pStyle w:val="Prrafodelista"/>
        <w:numPr>
          <w:ilvl w:val="0"/>
          <w:numId w:val="1"/>
        </w:numPr>
        <w:ind w:left="426"/>
        <w:rPr>
          <w:rFonts w:cstheme="minorHAnsi"/>
          <w:szCs w:val="24"/>
        </w:rPr>
      </w:pPr>
      <w:r w:rsidRPr="004F666B">
        <w:rPr>
          <w:rFonts w:cstheme="minorHAnsi"/>
          <w:i/>
          <w:iCs/>
          <w:szCs w:val="24"/>
        </w:rPr>
        <w:t xml:space="preserve">Transferencias al Poder Legislativo </w:t>
      </w:r>
      <w:r w:rsidRPr="004F666B">
        <w:rPr>
          <w:rFonts w:cstheme="minorHAnsi"/>
          <w:szCs w:val="24"/>
        </w:rPr>
        <w:t xml:space="preserve">por 309 millones </w:t>
      </w:r>
      <w:r w:rsidRPr="004F666B">
        <w:rPr>
          <w:szCs w:val="24"/>
        </w:rPr>
        <w:t>de pesos</w:t>
      </w:r>
      <w:r w:rsidRPr="004F666B">
        <w:rPr>
          <w:rFonts w:cstheme="minorHAnsi"/>
          <w:szCs w:val="24"/>
        </w:rPr>
        <w:t xml:space="preserve">; al </w:t>
      </w:r>
      <w:r w:rsidRPr="004F666B">
        <w:rPr>
          <w:rFonts w:cstheme="minorHAnsi"/>
          <w:i/>
          <w:iCs/>
          <w:szCs w:val="24"/>
        </w:rPr>
        <w:t xml:space="preserve">Poder Judicial </w:t>
      </w:r>
      <w:r w:rsidRPr="004F666B">
        <w:rPr>
          <w:rFonts w:cstheme="minorHAnsi"/>
          <w:szCs w:val="24"/>
        </w:rPr>
        <w:t xml:space="preserve">por 448 millones </w:t>
      </w:r>
      <w:r w:rsidRPr="004F666B">
        <w:rPr>
          <w:szCs w:val="24"/>
        </w:rPr>
        <w:t>de pesos</w:t>
      </w:r>
      <w:r w:rsidRPr="004F666B">
        <w:rPr>
          <w:rFonts w:cstheme="minorHAnsi"/>
          <w:szCs w:val="24"/>
        </w:rPr>
        <w:t xml:space="preserve">; a los </w:t>
      </w:r>
      <w:r w:rsidRPr="004F666B">
        <w:rPr>
          <w:rFonts w:cstheme="minorHAnsi"/>
          <w:i/>
          <w:iCs/>
          <w:szCs w:val="24"/>
        </w:rPr>
        <w:t xml:space="preserve">Organismos Autónomos </w:t>
      </w:r>
      <w:r w:rsidRPr="004F666B">
        <w:rPr>
          <w:rFonts w:cstheme="minorHAnsi"/>
          <w:szCs w:val="24"/>
        </w:rPr>
        <w:t xml:space="preserve">por 717 millones de pesos; y 164 millones </w:t>
      </w:r>
      <w:r w:rsidRPr="004F666B">
        <w:rPr>
          <w:szCs w:val="24"/>
        </w:rPr>
        <w:t>de pesos</w:t>
      </w:r>
      <w:r w:rsidRPr="004F666B">
        <w:rPr>
          <w:rFonts w:cstheme="minorHAnsi"/>
          <w:szCs w:val="24"/>
        </w:rPr>
        <w:t xml:space="preserve"> a </w:t>
      </w:r>
      <w:r w:rsidRPr="00143565">
        <w:rPr>
          <w:rFonts w:cstheme="minorHAnsi"/>
          <w:i/>
          <w:szCs w:val="24"/>
        </w:rPr>
        <w:t>Partidos Políticos y Organismos Electorales</w:t>
      </w:r>
      <w:r w:rsidRPr="004F666B">
        <w:rPr>
          <w:rFonts w:cstheme="minorHAnsi"/>
          <w:szCs w:val="24"/>
        </w:rPr>
        <w:t xml:space="preserve">;   </w:t>
      </w:r>
    </w:p>
    <w:p w:rsidR="00795434" w:rsidRPr="004F666B" w:rsidRDefault="00795434" w:rsidP="00795434">
      <w:pPr>
        <w:pStyle w:val="Prrafodelista"/>
        <w:rPr>
          <w:rFonts w:cstheme="minorHAnsi"/>
          <w:sz w:val="14"/>
          <w:szCs w:val="14"/>
        </w:rPr>
      </w:pPr>
    </w:p>
    <w:p w:rsidR="00795434" w:rsidRPr="004F666B" w:rsidRDefault="00795434" w:rsidP="00795434">
      <w:pPr>
        <w:pStyle w:val="Prrafodelista"/>
        <w:numPr>
          <w:ilvl w:val="0"/>
          <w:numId w:val="1"/>
        </w:numPr>
        <w:ind w:left="426"/>
        <w:rPr>
          <w:rFonts w:cstheme="minorHAnsi"/>
          <w:szCs w:val="24"/>
        </w:rPr>
      </w:pPr>
      <w:r w:rsidRPr="004F666B">
        <w:rPr>
          <w:rFonts w:cstheme="minorHAnsi"/>
          <w:szCs w:val="24"/>
        </w:rPr>
        <w:t xml:space="preserve">El </w:t>
      </w:r>
      <w:r w:rsidRPr="004F666B">
        <w:rPr>
          <w:rFonts w:cstheme="minorHAnsi"/>
          <w:i/>
          <w:szCs w:val="24"/>
        </w:rPr>
        <w:t xml:space="preserve">Gasto Federalizado </w:t>
      </w:r>
      <w:r w:rsidRPr="004F666B">
        <w:rPr>
          <w:rFonts w:cstheme="minorHAnsi"/>
          <w:szCs w:val="24"/>
        </w:rPr>
        <w:t xml:space="preserve">registró 14 mil 356 millones de pesos, que fueron aplicados principalmente en:  </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El Fondo de Aportaciones para la Nómina Educativa y Gasto Operativo por un total de 6 mil 565 millones de pesos;</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lastRenderedPageBreak/>
        <w:t xml:space="preserve">Del </w:t>
      </w:r>
      <w:r w:rsidRPr="00322EB1">
        <w:rPr>
          <w:rFonts w:cstheme="minorHAnsi"/>
          <w:szCs w:val="24"/>
        </w:rPr>
        <w:t>Programa de Fortalecimie</w:t>
      </w:r>
      <w:r>
        <w:rPr>
          <w:rFonts w:cstheme="minorHAnsi"/>
          <w:szCs w:val="24"/>
        </w:rPr>
        <w:t xml:space="preserve">nto para la Seguridad se han </w:t>
      </w:r>
      <w:r w:rsidR="007F0A36">
        <w:rPr>
          <w:rFonts w:cstheme="minorHAnsi"/>
          <w:szCs w:val="24"/>
        </w:rPr>
        <w:t>transferido</w:t>
      </w:r>
      <w:r>
        <w:rPr>
          <w:rFonts w:cstheme="minorHAnsi"/>
          <w:szCs w:val="24"/>
        </w:rPr>
        <w:t xml:space="preserve"> a los municipios </w:t>
      </w:r>
      <w:r w:rsidRPr="004F666B">
        <w:rPr>
          <w:rFonts w:cstheme="minorHAnsi"/>
          <w:szCs w:val="24"/>
        </w:rPr>
        <w:t>78 millones de pesos;</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 xml:space="preserve">Se devengaron 3 mil 691 millones de pesos en Subsidios a Educación Superior, 423 millones de pesos en Subsidios a Educación Media Superior, así como subsidios al Instituto de Capacitación para el Trabajo del Estado de Sinaloa por 102 millones </w:t>
      </w:r>
      <w:r w:rsidRPr="004F666B">
        <w:rPr>
          <w:szCs w:val="24"/>
        </w:rPr>
        <w:t xml:space="preserve">de pesos, Programa Nacional de Inglés con 38 millones de pesos, 24 millones de pesos en Telebachillerato </w:t>
      </w:r>
      <w:r>
        <w:rPr>
          <w:szCs w:val="24"/>
        </w:rPr>
        <w:t>C</w:t>
      </w:r>
      <w:r w:rsidRPr="004F666B">
        <w:rPr>
          <w:szCs w:val="24"/>
        </w:rPr>
        <w:t xml:space="preserve">omunitario, Programa Educación para Adultos por 12 millones de pesos, Programa </w:t>
      </w:r>
      <w:r>
        <w:rPr>
          <w:szCs w:val="24"/>
        </w:rPr>
        <w:t>E</w:t>
      </w:r>
      <w:r w:rsidRPr="004F666B">
        <w:rPr>
          <w:szCs w:val="24"/>
        </w:rPr>
        <w:t xml:space="preserve">xpansión de la </w:t>
      </w:r>
      <w:r>
        <w:rPr>
          <w:szCs w:val="24"/>
        </w:rPr>
        <w:t>E</w:t>
      </w:r>
      <w:r w:rsidRPr="004F666B">
        <w:rPr>
          <w:szCs w:val="24"/>
        </w:rPr>
        <w:t xml:space="preserve">ducación </w:t>
      </w:r>
      <w:r>
        <w:rPr>
          <w:szCs w:val="24"/>
        </w:rPr>
        <w:t>I</w:t>
      </w:r>
      <w:r w:rsidRPr="004F666B">
        <w:rPr>
          <w:szCs w:val="24"/>
        </w:rPr>
        <w:t>nicial con 18 millones de pesos, 12 millones de pesos del Programa Atención Educativa de la Población Escolar Migrante y Fortalecimiento a la Excelencia Educativa con 15 millones de pesos</w:t>
      </w:r>
      <w:r w:rsidRPr="004F666B">
        <w:rPr>
          <w:rFonts w:cstheme="minorHAnsi"/>
          <w:szCs w:val="24"/>
        </w:rPr>
        <w:t xml:space="preserve">;  </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 xml:space="preserve">Al Programa Escuelas de Tiempo Completo se destinaron 243 millones </w:t>
      </w:r>
      <w:r w:rsidRPr="004F666B">
        <w:rPr>
          <w:szCs w:val="24"/>
        </w:rPr>
        <w:t>de pesos</w:t>
      </w:r>
      <w:r w:rsidRPr="004F666B">
        <w:rPr>
          <w:rFonts w:cstheme="minorHAnsi"/>
          <w:szCs w:val="24"/>
        </w:rPr>
        <w:t xml:space="preserve">; </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Fueron devengados 244 millones de pesos del Fondo de Aportaciones para la Educación Tecnológica y de Adultos;</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 xml:space="preserve">Se ejercieron 1 mil 997 millones de pesos en el Fondo de Aportaciones para los Servicios de Salud; 488 millones de pesos del Programa de Salud para el Bienestar INSABI, el Acuerdo para el Fortalecimiento de Acciones de Salud Pública en las Entidades Federativas (AFASPE) ejerció 43 millones de pesos, Programa de Atención a la Salud y Medicamentos Gratuitos para la Población sin Seguridad Social Laboral 77 millones de pesos y el Fortalecimiento a la </w:t>
      </w:r>
      <w:r>
        <w:rPr>
          <w:rFonts w:cstheme="minorHAnsi"/>
          <w:szCs w:val="24"/>
        </w:rPr>
        <w:t>A</w:t>
      </w:r>
      <w:r w:rsidRPr="004F666B">
        <w:rPr>
          <w:rFonts w:cstheme="minorHAnsi"/>
          <w:szCs w:val="24"/>
        </w:rPr>
        <w:t xml:space="preserve">tención </w:t>
      </w:r>
      <w:r>
        <w:rPr>
          <w:rFonts w:cstheme="minorHAnsi"/>
          <w:szCs w:val="24"/>
        </w:rPr>
        <w:t>M</w:t>
      </w:r>
      <w:r w:rsidRPr="004F666B">
        <w:rPr>
          <w:rFonts w:cstheme="minorHAnsi"/>
          <w:szCs w:val="24"/>
        </w:rPr>
        <w:t>édica (caravanas de la salud) con 12 millones de pesos;</w:t>
      </w:r>
    </w:p>
    <w:p w:rsidR="00795434" w:rsidRPr="004F666B" w:rsidRDefault="00795434" w:rsidP="00795434">
      <w:pPr>
        <w:pStyle w:val="Prrafodelista"/>
        <w:numPr>
          <w:ilvl w:val="0"/>
          <w:numId w:val="11"/>
        </w:numPr>
        <w:spacing w:after="0"/>
        <w:rPr>
          <w:rFonts w:cstheme="minorHAnsi"/>
          <w:szCs w:val="24"/>
        </w:rPr>
      </w:pPr>
      <w:r w:rsidRPr="004F666B">
        <w:rPr>
          <w:rFonts w:cstheme="minorHAnsi"/>
          <w:szCs w:val="24"/>
        </w:rPr>
        <w:t xml:space="preserve">234 millones </w:t>
      </w:r>
      <w:r w:rsidRPr="004F666B">
        <w:rPr>
          <w:szCs w:val="24"/>
        </w:rPr>
        <w:t>de pesos fueron</w:t>
      </w:r>
      <w:r w:rsidRPr="004F666B">
        <w:rPr>
          <w:rFonts w:cstheme="minorHAnsi"/>
          <w:szCs w:val="24"/>
        </w:rPr>
        <w:t xml:space="preserve"> destinados al Fondo de Aportaciones Múltiples a Asistencia Social</w:t>
      </w:r>
      <w:r>
        <w:rPr>
          <w:rFonts w:cstheme="minorHAnsi"/>
          <w:szCs w:val="24"/>
        </w:rPr>
        <w:t>.</w:t>
      </w:r>
      <w:r w:rsidRPr="004F666B">
        <w:rPr>
          <w:rFonts w:cstheme="minorHAnsi"/>
          <w:szCs w:val="24"/>
        </w:rPr>
        <w:t xml:space="preserve"> </w:t>
      </w:r>
    </w:p>
    <w:p w:rsidR="00795434" w:rsidRPr="004F666B" w:rsidRDefault="00795434" w:rsidP="00795434">
      <w:pPr>
        <w:pStyle w:val="Prrafodelista"/>
        <w:spacing w:after="0"/>
        <w:ind w:left="1146"/>
        <w:rPr>
          <w:rFonts w:cstheme="minorHAnsi"/>
          <w:sz w:val="10"/>
          <w:szCs w:val="10"/>
        </w:rPr>
      </w:pPr>
    </w:p>
    <w:p w:rsidR="00795434" w:rsidRPr="00143565" w:rsidRDefault="00795434" w:rsidP="00795434">
      <w:pPr>
        <w:pStyle w:val="Prrafodelista"/>
        <w:numPr>
          <w:ilvl w:val="0"/>
          <w:numId w:val="16"/>
        </w:numPr>
        <w:rPr>
          <w:rFonts w:cstheme="minorHAnsi"/>
          <w:szCs w:val="24"/>
        </w:rPr>
      </w:pPr>
      <w:r w:rsidRPr="004F666B">
        <w:rPr>
          <w:szCs w:val="24"/>
        </w:rPr>
        <w:t xml:space="preserve">En lo que respecta a las </w:t>
      </w:r>
      <w:r w:rsidRPr="004F666B">
        <w:rPr>
          <w:i/>
          <w:szCs w:val="24"/>
        </w:rPr>
        <w:t>Transferencias a Organismos Subsidiados,</w:t>
      </w:r>
      <w:r w:rsidRPr="004F666B">
        <w:rPr>
          <w:szCs w:val="24"/>
        </w:rPr>
        <w:t xml:space="preserve"> </w:t>
      </w:r>
      <w:r w:rsidRPr="00143565">
        <w:rPr>
          <w:szCs w:val="24"/>
        </w:rPr>
        <w:t xml:space="preserve">la suma registrada fue de 4 mil 616 millones de pesos; de los cuales 1 mil 461 millones de pesos se orientaron a Organismos de Salud y Asistencia Social; 2 mil 970 millones de pesos a Organismos Descentralizados de Educación; y 185 millones de pesos fueron destinados a otros Organismos Subsidiados. </w:t>
      </w:r>
    </w:p>
    <w:p w:rsidR="00795434" w:rsidRDefault="00795434" w:rsidP="00795434">
      <w:pPr>
        <w:autoSpaceDE w:val="0"/>
        <w:autoSpaceDN w:val="0"/>
        <w:adjustRightInd w:val="0"/>
        <w:spacing w:after="0"/>
        <w:rPr>
          <w:rFonts w:cstheme="minorHAnsi"/>
          <w:iCs/>
          <w:szCs w:val="24"/>
        </w:rPr>
      </w:pPr>
      <w:r w:rsidRPr="004F666B">
        <w:rPr>
          <w:szCs w:val="24"/>
        </w:rPr>
        <w:t xml:space="preserve">Las Participaciones y Aportaciones devengaron 2 mil 441 millones de pesos, este capítulo que se compone por el </w:t>
      </w:r>
      <w:r w:rsidRPr="004F666B">
        <w:rPr>
          <w:rFonts w:cstheme="minorHAnsi"/>
          <w:i/>
          <w:szCs w:val="24"/>
        </w:rPr>
        <w:t>Fondo</w:t>
      </w:r>
      <w:r w:rsidRPr="004F666B">
        <w:rPr>
          <w:rFonts w:cstheme="minorHAnsi"/>
          <w:szCs w:val="24"/>
        </w:rPr>
        <w:t xml:space="preserve"> </w:t>
      </w:r>
      <w:r w:rsidRPr="004F666B">
        <w:rPr>
          <w:rFonts w:cstheme="minorHAnsi"/>
          <w:i/>
          <w:szCs w:val="24"/>
        </w:rPr>
        <w:t>de Aportaciones para la Infraestructura Social Municipal</w:t>
      </w:r>
      <w:r w:rsidRPr="004F666B">
        <w:rPr>
          <w:rFonts w:cstheme="minorHAnsi"/>
          <w:szCs w:val="24"/>
        </w:rPr>
        <w:t xml:space="preserve"> </w:t>
      </w:r>
      <w:r w:rsidRPr="004F666B">
        <w:rPr>
          <w:rFonts w:cstheme="minorHAnsi"/>
          <w:i/>
          <w:szCs w:val="24"/>
        </w:rPr>
        <w:t>(FAISM)</w:t>
      </w:r>
      <w:r w:rsidRPr="004F666B">
        <w:rPr>
          <w:rFonts w:cstheme="minorHAnsi"/>
          <w:szCs w:val="24"/>
        </w:rPr>
        <w:t xml:space="preserve"> que ejerció un total de 869 millones </w:t>
      </w:r>
      <w:r w:rsidRPr="004F666B">
        <w:rPr>
          <w:szCs w:val="24"/>
        </w:rPr>
        <w:t>de pesos</w:t>
      </w:r>
      <w:r w:rsidRPr="004F666B">
        <w:rPr>
          <w:rFonts w:cstheme="minorHAnsi"/>
          <w:szCs w:val="24"/>
        </w:rPr>
        <w:t xml:space="preserve"> y el </w:t>
      </w:r>
      <w:r w:rsidRPr="004F666B">
        <w:rPr>
          <w:rFonts w:cstheme="minorHAnsi"/>
          <w:i/>
          <w:szCs w:val="24"/>
        </w:rPr>
        <w:t xml:space="preserve">Fondo de Aportaciones para el Fortalecimiento Municipal (FORTAMUN) </w:t>
      </w:r>
      <w:r w:rsidRPr="004F666B">
        <w:rPr>
          <w:rFonts w:cstheme="minorHAnsi"/>
          <w:iCs/>
          <w:szCs w:val="24"/>
        </w:rPr>
        <w:t>con un ejercicio de 1 mil 572 millones de pesos</w:t>
      </w:r>
      <w:r w:rsidR="00CF6107">
        <w:rPr>
          <w:rFonts w:cstheme="minorHAnsi"/>
          <w:iCs/>
          <w:szCs w:val="24"/>
        </w:rPr>
        <w:t>.</w:t>
      </w:r>
    </w:p>
    <w:p w:rsidR="00795434" w:rsidRDefault="00795434" w:rsidP="00795434">
      <w:pPr>
        <w:autoSpaceDE w:val="0"/>
        <w:autoSpaceDN w:val="0"/>
        <w:adjustRightInd w:val="0"/>
        <w:spacing w:after="0"/>
        <w:rPr>
          <w:rFonts w:cstheme="minorHAnsi"/>
          <w:iCs/>
          <w:szCs w:val="24"/>
        </w:rPr>
      </w:pPr>
    </w:p>
    <w:p w:rsidR="00795434" w:rsidRPr="004F666B" w:rsidRDefault="00795434" w:rsidP="00795434">
      <w:pPr>
        <w:autoSpaceDE w:val="0"/>
        <w:autoSpaceDN w:val="0"/>
        <w:adjustRightInd w:val="0"/>
        <w:spacing w:after="0"/>
        <w:rPr>
          <w:szCs w:val="24"/>
        </w:rPr>
      </w:pPr>
      <w:r>
        <w:rPr>
          <w:rFonts w:cstheme="minorHAnsi"/>
          <w:szCs w:val="24"/>
        </w:rPr>
        <w:t>A</w:t>
      </w:r>
      <w:r w:rsidRPr="004F666B">
        <w:rPr>
          <w:rFonts w:cstheme="minorHAnsi"/>
          <w:szCs w:val="24"/>
        </w:rPr>
        <w:t>sí mismo, en los</w:t>
      </w:r>
      <w:r w:rsidRPr="004F666B">
        <w:rPr>
          <w:szCs w:val="24"/>
        </w:rPr>
        <w:t xml:space="preserve"> </w:t>
      </w:r>
      <w:r w:rsidRPr="004F666B">
        <w:rPr>
          <w:i/>
          <w:szCs w:val="24"/>
        </w:rPr>
        <w:t>Intereses y Gastos</w:t>
      </w:r>
      <w:r w:rsidRPr="004F666B">
        <w:rPr>
          <w:szCs w:val="24"/>
        </w:rPr>
        <w:t xml:space="preserve"> que forman parte de la Deuda Pública, fueron devengados 253 millones de pesos.</w:t>
      </w:r>
    </w:p>
    <w:p w:rsidR="00795434" w:rsidRPr="004F666B" w:rsidRDefault="00795434" w:rsidP="00795434">
      <w:pPr>
        <w:autoSpaceDE w:val="0"/>
        <w:autoSpaceDN w:val="0"/>
        <w:adjustRightInd w:val="0"/>
        <w:spacing w:after="0"/>
        <w:rPr>
          <w:sz w:val="14"/>
          <w:szCs w:val="14"/>
        </w:rPr>
      </w:pPr>
    </w:p>
    <w:p w:rsidR="00795434" w:rsidRPr="004F666B" w:rsidRDefault="00795434" w:rsidP="00795434">
      <w:pPr>
        <w:autoSpaceDE w:val="0"/>
        <w:autoSpaceDN w:val="0"/>
        <w:adjustRightInd w:val="0"/>
        <w:spacing w:after="0"/>
        <w:rPr>
          <w:szCs w:val="24"/>
        </w:rPr>
      </w:pPr>
      <w:r w:rsidRPr="004F666B">
        <w:rPr>
          <w:szCs w:val="24"/>
        </w:rPr>
        <w:lastRenderedPageBreak/>
        <w:t xml:space="preserve">Al tercer trimestre 2020, todas las erogaciones que conforman el patrimonio público y que consideran gastos de inversión de la administración pública del estado, entidades y dependencias que integran el Gasto de Capital, registraron un ejercicio de 5 mil 438 millones de pesos.  </w:t>
      </w:r>
    </w:p>
    <w:p w:rsidR="00795434" w:rsidRPr="004F666B" w:rsidRDefault="00795434" w:rsidP="00795434">
      <w:pPr>
        <w:autoSpaceDE w:val="0"/>
        <w:autoSpaceDN w:val="0"/>
        <w:adjustRightInd w:val="0"/>
        <w:spacing w:before="240" w:after="0"/>
        <w:rPr>
          <w:szCs w:val="24"/>
        </w:rPr>
      </w:pPr>
      <w:r w:rsidRPr="004F666B">
        <w:rPr>
          <w:szCs w:val="24"/>
        </w:rPr>
        <w:t>Esta cifra se compone a su vez por el capítulo de Servicios Generales, que presentó un ejercicio de 349 millones de pesos, de los cuales 112 millones de pesos corresponden al</w:t>
      </w:r>
      <w:r w:rsidRPr="004F666B">
        <w:rPr>
          <w:rFonts w:cstheme="minorHAnsi"/>
          <w:szCs w:val="24"/>
          <w:lang w:eastAsia="es-MX"/>
        </w:rPr>
        <w:t xml:space="preserve"> </w:t>
      </w:r>
      <w:r w:rsidRPr="004F666B">
        <w:rPr>
          <w:rFonts w:cstheme="minorHAnsi"/>
          <w:i/>
          <w:szCs w:val="24"/>
          <w:lang w:eastAsia="es-MX"/>
        </w:rPr>
        <w:t>Fondo de Aportaciones Múltiples (FAM)</w:t>
      </w:r>
      <w:r w:rsidRPr="004F666B">
        <w:rPr>
          <w:rFonts w:cstheme="minorHAnsi"/>
          <w:szCs w:val="24"/>
          <w:lang w:eastAsia="es-MX"/>
        </w:rPr>
        <w:t xml:space="preserve"> destinados al Fideicomiso para el Programa de Escuelas al CIEN</w:t>
      </w:r>
      <w:r w:rsidRPr="004F666B">
        <w:rPr>
          <w:szCs w:val="24"/>
        </w:rPr>
        <w:t>; las transferencias por derechos de peaje y aprovechamiento provenientes de la autopista estatal Benito Juárez por 203 millones de pesos y el puente San Miguel por 28 millones de pesos; finalmente la Alianza para el desarrollo sustentable y Sanidad e inocuidad agroalimentaria por 6 millones de pesos.</w:t>
      </w:r>
    </w:p>
    <w:p w:rsidR="00795434" w:rsidRPr="004F666B" w:rsidRDefault="00795434" w:rsidP="00795434">
      <w:pPr>
        <w:spacing w:before="240"/>
        <w:rPr>
          <w:rFonts w:cstheme="minorHAnsi"/>
          <w:szCs w:val="24"/>
        </w:rPr>
      </w:pPr>
      <w:r w:rsidRPr="004F666B">
        <w:rPr>
          <w:rFonts w:cstheme="minorHAnsi"/>
          <w:szCs w:val="24"/>
        </w:rPr>
        <w:t>En el caso de las Transferencias, Asignaciones, Subsidios y Otras Ayudas del Gasto de Capital que ejercieron 2 mil 675 millones de pesos, orientados principalmente a los siguientes proyectos:</w:t>
      </w:r>
    </w:p>
    <w:p w:rsidR="00795434" w:rsidRPr="004F666B" w:rsidRDefault="00795434" w:rsidP="00795434">
      <w:pPr>
        <w:pStyle w:val="Prrafodelista"/>
        <w:numPr>
          <w:ilvl w:val="0"/>
          <w:numId w:val="2"/>
        </w:numPr>
        <w:ind w:left="426"/>
        <w:rPr>
          <w:rFonts w:cstheme="minorHAnsi"/>
          <w:szCs w:val="24"/>
        </w:rPr>
      </w:pPr>
      <w:r w:rsidRPr="004F666B">
        <w:rPr>
          <w:rFonts w:cstheme="minorHAnsi"/>
          <w:i/>
          <w:szCs w:val="24"/>
        </w:rPr>
        <w:t>Programas de Útiles, Uniformes Escolares Gratuitos y Calzado Deportivo Preescolar</w:t>
      </w:r>
      <w:r w:rsidRPr="004F666B">
        <w:rPr>
          <w:rFonts w:cstheme="minorHAnsi"/>
          <w:szCs w:val="24"/>
        </w:rPr>
        <w:t xml:space="preserve">, con un ejercicio de 39 millones </w:t>
      </w:r>
      <w:r w:rsidRPr="004F666B">
        <w:rPr>
          <w:szCs w:val="24"/>
        </w:rPr>
        <w:t>de pesos</w:t>
      </w:r>
      <w:r w:rsidRPr="004F666B">
        <w:rPr>
          <w:rFonts w:cstheme="minorHAnsi"/>
          <w:szCs w:val="24"/>
        </w:rPr>
        <w:t>, 81 millones de pesos y 10 millones respectivamente;</w:t>
      </w:r>
    </w:p>
    <w:p w:rsidR="00795434" w:rsidRPr="004F666B" w:rsidRDefault="00795434" w:rsidP="00795434">
      <w:pPr>
        <w:pStyle w:val="Prrafodelista"/>
        <w:numPr>
          <w:ilvl w:val="0"/>
          <w:numId w:val="2"/>
        </w:numPr>
        <w:ind w:left="426"/>
        <w:rPr>
          <w:rFonts w:cstheme="minorHAnsi"/>
          <w:szCs w:val="24"/>
        </w:rPr>
      </w:pPr>
      <w:r w:rsidRPr="004F666B">
        <w:rPr>
          <w:rFonts w:cstheme="minorHAnsi"/>
          <w:szCs w:val="24"/>
        </w:rPr>
        <w:t xml:space="preserve">En </w:t>
      </w:r>
      <w:r w:rsidRPr="004F666B">
        <w:rPr>
          <w:rFonts w:cstheme="minorHAnsi"/>
          <w:i/>
          <w:szCs w:val="24"/>
        </w:rPr>
        <w:t xml:space="preserve">Infraestructura Física Educativa se destinaron </w:t>
      </w:r>
      <w:r w:rsidRPr="004F666B">
        <w:rPr>
          <w:rFonts w:cstheme="minorHAnsi"/>
          <w:iCs/>
          <w:szCs w:val="24"/>
        </w:rPr>
        <w:t>184</w:t>
      </w:r>
      <w:r w:rsidRPr="004F666B">
        <w:rPr>
          <w:rFonts w:cstheme="minorHAnsi"/>
          <w:i/>
          <w:szCs w:val="24"/>
        </w:rPr>
        <w:t xml:space="preserve"> </w:t>
      </w:r>
      <w:r w:rsidRPr="004F666B">
        <w:rPr>
          <w:rFonts w:cstheme="minorHAnsi"/>
          <w:szCs w:val="24"/>
        </w:rPr>
        <w:t>millones de pesos</w:t>
      </w:r>
      <w:r>
        <w:rPr>
          <w:rFonts w:cstheme="minorHAnsi"/>
          <w:szCs w:val="24"/>
        </w:rPr>
        <w:t>, de recursos del FAM;</w:t>
      </w:r>
    </w:p>
    <w:p w:rsidR="00795434" w:rsidRPr="004F666B" w:rsidRDefault="00795434" w:rsidP="00795434">
      <w:pPr>
        <w:pStyle w:val="Prrafodelista"/>
        <w:numPr>
          <w:ilvl w:val="0"/>
          <w:numId w:val="2"/>
        </w:numPr>
        <w:ind w:left="426"/>
        <w:rPr>
          <w:rFonts w:cstheme="minorHAnsi"/>
          <w:szCs w:val="24"/>
        </w:rPr>
      </w:pPr>
      <w:r w:rsidRPr="004F666B">
        <w:rPr>
          <w:rFonts w:cstheme="minorHAnsi"/>
          <w:szCs w:val="24"/>
        </w:rPr>
        <w:t>A</w:t>
      </w:r>
      <w:r w:rsidRPr="004F666B">
        <w:rPr>
          <w:rFonts w:cstheme="minorHAnsi"/>
          <w:i/>
          <w:szCs w:val="24"/>
        </w:rPr>
        <w:t xml:space="preserve"> Infraestructura Hospitalaria y Equipamiento </w:t>
      </w:r>
      <w:r w:rsidRPr="004F666B">
        <w:rPr>
          <w:rFonts w:cstheme="minorHAnsi"/>
          <w:szCs w:val="24"/>
        </w:rPr>
        <w:t>se orientaron</w:t>
      </w:r>
      <w:r w:rsidRPr="004F666B">
        <w:rPr>
          <w:rFonts w:cstheme="minorHAnsi"/>
          <w:i/>
          <w:szCs w:val="24"/>
        </w:rPr>
        <w:t xml:space="preserve"> </w:t>
      </w:r>
      <w:r w:rsidRPr="004F666B">
        <w:rPr>
          <w:rFonts w:cstheme="minorHAnsi"/>
          <w:szCs w:val="24"/>
        </w:rPr>
        <w:t>818 millones de pesos, distribuidos principalmente en la</w:t>
      </w:r>
      <w:r w:rsidRPr="004F666B">
        <w:rPr>
          <w:rFonts w:cstheme="minorHAnsi"/>
          <w:i/>
          <w:szCs w:val="24"/>
        </w:rPr>
        <w:t xml:space="preserve"> </w:t>
      </w:r>
      <w:r w:rsidRPr="004F666B">
        <w:rPr>
          <w:rFonts w:cstheme="minorHAnsi"/>
          <w:szCs w:val="24"/>
        </w:rPr>
        <w:t>sustitución del Hospital General de Culiacán, del Centro de Salud de Culiacán y el Hospital Pediátrico de Sinaloa, así como proyectos  destinados a la atención de la pandemia por el Virus SARS-COV2;</w:t>
      </w:r>
    </w:p>
    <w:p w:rsidR="00795434" w:rsidRPr="004F666B" w:rsidRDefault="00795434" w:rsidP="00795434">
      <w:pPr>
        <w:pStyle w:val="Prrafodelista"/>
        <w:numPr>
          <w:ilvl w:val="0"/>
          <w:numId w:val="2"/>
        </w:numPr>
        <w:ind w:left="426"/>
        <w:rPr>
          <w:rFonts w:cstheme="minorHAnsi"/>
          <w:szCs w:val="24"/>
        </w:rPr>
      </w:pPr>
      <w:r w:rsidRPr="004F666B">
        <w:rPr>
          <w:rFonts w:cstheme="minorHAnsi"/>
          <w:i/>
          <w:szCs w:val="24"/>
        </w:rPr>
        <w:t>Rehabilitación de carreteras, pavimentación de vialidades, bacheo y reencarpetado</w:t>
      </w:r>
      <w:r w:rsidRPr="004F666B">
        <w:rPr>
          <w:rFonts w:cstheme="minorHAnsi"/>
          <w:szCs w:val="24"/>
        </w:rPr>
        <w:t xml:space="preserve"> por 361 millones de pesos;</w:t>
      </w:r>
    </w:p>
    <w:p w:rsidR="00795434" w:rsidRPr="004F666B" w:rsidRDefault="00795434" w:rsidP="00795434">
      <w:pPr>
        <w:pStyle w:val="Prrafodelista"/>
        <w:numPr>
          <w:ilvl w:val="0"/>
          <w:numId w:val="2"/>
        </w:numPr>
        <w:ind w:left="426"/>
        <w:rPr>
          <w:rFonts w:cstheme="minorHAnsi"/>
          <w:szCs w:val="24"/>
        </w:rPr>
      </w:pPr>
      <w:r w:rsidRPr="004F666B">
        <w:rPr>
          <w:rFonts w:cstheme="minorHAnsi"/>
          <w:szCs w:val="24"/>
        </w:rPr>
        <w:t xml:space="preserve">En </w:t>
      </w:r>
      <w:r w:rsidRPr="004F666B">
        <w:rPr>
          <w:rFonts w:cstheme="minorHAnsi"/>
          <w:i/>
          <w:szCs w:val="24"/>
        </w:rPr>
        <w:t xml:space="preserve">Construcción de Vivienda Popular </w:t>
      </w:r>
      <w:r w:rsidRPr="004F666B">
        <w:rPr>
          <w:rFonts w:cstheme="minorHAnsi"/>
          <w:szCs w:val="24"/>
        </w:rPr>
        <w:t xml:space="preserve">por reasignaciones del Congreso, se han ejercido 37 millones de pesos;  </w:t>
      </w:r>
    </w:p>
    <w:p w:rsidR="00795434" w:rsidRPr="004F666B" w:rsidRDefault="00795434" w:rsidP="00795434">
      <w:pPr>
        <w:pStyle w:val="Prrafodelista"/>
        <w:numPr>
          <w:ilvl w:val="0"/>
          <w:numId w:val="2"/>
        </w:numPr>
        <w:ind w:left="426"/>
        <w:rPr>
          <w:rFonts w:cstheme="minorHAnsi"/>
          <w:szCs w:val="24"/>
        </w:rPr>
      </w:pPr>
      <w:r w:rsidRPr="004F666B">
        <w:rPr>
          <w:rFonts w:cstheme="minorHAnsi"/>
          <w:i/>
          <w:szCs w:val="24"/>
        </w:rPr>
        <w:t>Fondo de Aportaciones a Seguridad Pública</w:t>
      </w:r>
      <w:r w:rsidRPr="004F666B">
        <w:rPr>
          <w:rFonts w:cstheme="minorHAnsi"/>
          <w:szCs w:val="24"/>
        </w:rPr>
        <w:t xml:space="preserve"> provenientes de recurso Federal por 188 millones de pesos y adicionalmente 83 millones </w:t>
      </w:r>
      <w:r w:rsidRPr="004F666B">
        <w:rPr>
          <w:szCs w:val="24"/>
        </w:rPr>
        <w:t>de pesos</w:t>
      </w:r>
      <w:r w:rsidRPr="004F666B">
        <w:rPr>
          <w:rFonts w:cstheme="minorHAnsi"/>
          <w:szCs w:val="24"/>
        </w:rPr>
        <w:t xml:space="preserve"> de provenientes de recursos Estatales;</w:t>
      </w:r>
    </w:p>
    <w:p w:rsidR="00795434" w:rsidRPr="004F666B" w:rsidRDefault="00795434" w:rsidP="00795434">
      <w:pPr>
        <w:pStyle w:val="Prrafodelista"/>
        <w:numPr>
          <w:ilvl w:val="0"/>
          <w:numId w:val="2"/>
        </w:numPr>
        <w:ind w:left="426"/>
        <w:rPr>
          <w:rFonts w:cstheme="minorHAnsi"/>
          <w:szCs w:val="24"/>
        </w:rPr>
      </w:pPr>
      <w:r w:rsidRPr="004F666B">
        <w:rPr>
          <w:rFonts w:cstheme="minorHAnsi"/>
          <w:szCs w:val="24"/>
        </w:rPr>
        <w:t>Se destinaron 400 millones de pesos para el desarrollo de plataformas digitales, denominados “</w:t>
      </w:r>
      <w:r w:rsidRPr="00143565">
        <w:rPr>
          <w:rFonts w:cstheme="minorHAnsi"/>
          <w:i/>
          <w:szCs w:val="24"/>
        </w:rPr>
        <w:t>Centros Comunitarios Digitales y de Educación Incluyente” y “Plataforma WEB OTRAINING estrategia digital que fortalece capacidades educativas y científicas”</w:t>
      </w:r>
      <w:r w:rsidRPr="004F666B">
        <w:rPr>
          <w:rFonts w:cstheme="minorHAnsi"/>
          <w:szCs w:val="24"/>
        </w:rPr>
        <w:t xml:space="preserve">, para llegar a la zonas urbanas marginadas del Estado, en el marco de la contingencia que se vive en el país debido a la pandemia y que ha provocado la suspensión de actividades escolares.  </w:t>
      </w:r>
    </w:p>
    <w:p w:rsidR="00795434" w:rsidRPr="004F666B" w:rsidRDefault="00795434" w:rsidP="00795434">
      <w:pPr>
        <w:autoSpaceDE w:val="0"/>
        <w:autoSpaceDN w:val="0"/>
        <w:adjustRightInd w:val="0"/>
        <w:spacing w:after="0"/>
        <w:rPr>
          <w:szCs w:val="24"/>
        </w:rPr>
      </w:pPr>
      <w:r w:rsidRPr="004F666B">
        <w:rPr>
          <w:szCs w:val="24"/>
        </w:rPr>
        <w:lastRenderedPageBreak/>
        <w:t xml:space="preserve">Por concepto de Bienes Muebles, Inmuebles e Intangibles al tercer trimestre del año en curso se han devengado de  260 millones de pesos, dirigidos principalmente a los sectores de Salud, Seguridad Pública </w:t>
      </w:r>
      <w:r w:rsidRPr="004F666B">
        <w:rPr>
          <w:rFonts w:cstheme="minorHAnsi"/>
          <w:szCs w:val="24"/>
        </w:rPr>
        <w:t xml:space="preserve">y diversas áreas de la administración pública del estado. </w:t>
      </w:r>
    </w:p>
    <w:p w:rsidR="00795434" w:rsidRPr="004F666B" w:rsidRDefault="00795434" w:rsidP="00795434">
      <w:pPr>
        <w:autoSpaceDE w:val="0"/>
        <w:autoSpaceDN w:val="0"/>
        <w:adjustRightInd w:val="0"/>
        <w:spacing w:after="0"/>
        <w:rPr>
          <w:sz w:val="10"/>
          <w:szCs w:val="10"/>
        </w:rPr>
      </w:pPr>
    </w:p>
    <w:p w:rsidR="00795434" w:rsidRPr="004F666B" w:rsidRDefault="00795434" w:rsidP="00795434">
      <w:pPr>
        <w:rPr>
          <w:rFonts w:cstheme="minorHAnsi"/>
          <w:szCs w:val="24"/>
        </w:rPr>
      </w:pPr>
      <w:r w:rsidRPr="004F666B">
        <w:rPr>
          <w:rFonts w:cstheme="minorHAnsi"/>
          <w:bCs/>
          <w:szCs w:val="24"/>
        </w:rPr>
        <w:t xml:space="preserve">En cuanto a  Inversión Pública al tercer trimestre 2020 fueron ejercidos 2 mil 145 </w:t>
      </w:r>
      <w:r w:rsidRPr="004F666B">
        <w:rPr>
          <w:rFonts w:cstheme="minorHAnsi"/>
          <w:szCs w:val="24"/>
        </w:rPr>
        <w:t>millones de pesos, destinados principalmente a las siguientes obras</w:t>
      </w:r>
      <w:r w:rsidRPr="004F666B">
        <w:rPr>
          <w:rFonts w:cstheme="minorHAnsi"/>
          <w:bCs/>
          <w:szCs w:val="24"/>
        </w:rPr>
        <w:t>:</w:t>
      </w:r>
    </w:p>
    <w:p w:rsidR="00795434" w:rsidRPr="00143565" w:rsidRDefault="00795434" w:rsidP="00795434">
      <w:pPr>
        <w:pStyle w:val="Prrafodelista"/>
        <w:numPr>
          <w:ilvl w:val="0"/>
          <w:numId w:val="4"/>
        </w:numPr>
        <w:ind w:left="426"/>
        <w:rPr>
          <w:rFonts w:cstheme="minorHAnsi"/>
          <w:szCs w:val="24"/>
        </w:rPr>
      </w:pPr>
      <w:r w:rsidRPr="00143565">
        <w:rPr>
          <w:rFonts w:cstheme="minorHAnsi"/>
          <w:szCs w:val="24"/>
        </w:rPr>
        <w:t>Se devengaron 720 millones de pesos en el desarrollo de obra pública para la Construcción y Reconstrucción de la Red Carretera Estatal; Infraestructura para Espacios, Edificios Públicos, Instalaciones Deportivas y el Mejoramiento de los Servicios Públicos;</w:t>
      </w:r>
    </w:p>
    <w:p w:rsidR="00795434" w:rsidRPr="00143565" w:rsidRDefault="00795434" w:rsidP="00795434">
      <w:pPr>
        <w:pStyle w:val="Prrafodelista"/>
        <w:numPr>
          <w:ilvl w:val="0"/>
          <w:numId w:val="4"/>
        </w:numPr>
        <w:ind w:left="426"/>
        <w:rPr>
          <w:rFonts w:cstheme="minorHAnsi"/>
          <w:szCs w:val="24"/>
        </w:rPr>
      </w:pPr>
      <w:r w:rsidRPr="00143565">
        <w:rPr>
          <w:rFonts w:cstheme="minorHAnsi"/>
          <w:szCs w:val="24"/>
        </w:rPr>
        <w:t xml:space="preserve">Construcción y rehabilitación de infraestructura hidráulica, red de alcantarillado, sistema de agua potable, infraestructura para el mejoramiento en el tratamiento de aguas residuales por 466 millones </w:t>
      </w:r>
      <w:r w:rsidRPr="00143565">
        <w:rPr>
          <w:szCs w:val="24"/>
        </w:rPr>
        <w:t>de pesos</w:t>
      </w:r>
      <w:r w:rsidRPr="00143565">
        <w:rPr>
          <w:rFonts w:cstheme="minorHAnsi"/>
          <w:szCs w:val="24"/>
        </w:rPr>
        <w:t>;</w:t>
      </w:r>
    </w:p>
    <w:p w:rsidR="00795434" w:rsidRPr="00143565" w:rsidRDefault="00795434" w:rsidP="00795434">
      <w:pPr>
        <w:pStyle w:val="Prrafodelista"/>
        <w:numPr>
          <w:ilvl w:val="0"/>
          <w:numId w:val="4"/>
        </w:numPr>
        <w:ind w:left="426"/>
        <w:rPr>
          <w:rFonts w:cstheme="minorHAnsi"/>
          <w:szCs w:val="24"/>
        </w:rPr>
      </w:pPr>
      <w:r w:rsidRPr="00143565">
        <w:rPr>
          <w:rFonts w:cstheme="minorHAnsi"/>
          <w:szCs w:val="24"/>
        </w:rPr>
        <w:t>Del</w:t>
      </w:r>
      <w:r w:rsidRPr="004F666B">
        <w:rPr>
          <w:rFonts w:cstheme="minorHAnsi"/>
          <w:i/>
          <w:szCs w:val="24"/>
        </w:rPr>
        <w:t xml:space="preserve"> Fondo Metropolitano </w:t>
      </w:r>
      <w:r w:rsidRPr="00143565">
        <w:rPr>
          <w:rFonts w:cstheme="minorHAnsi"/>
          <w:szCs w:val="24"/>
        </w:rPr>
        <w:t>con recursos de origen federal y estatal se ejercieron 391 millones de pesos en los proyectos: de revestimiento de drenes en Culiacán y Mazatlán, Regeneración urbana de Av. Camarón Sábalo, en la ciudad de Mazatlán;</w:t>
      </w:r>
    </w:p>
    <w:p w:rsidR="00795434" w:rsidRPr="00143565" w:rsidRDefault="00795434" w:rsidP="00795434">
      <w:pPr>
        <w:pStyle w:val="Prrafodelista"/>
        <w:numPr>
          <w:ilvl w:val="0"/>
          <w:numId w:val="4"/>
        </w:numPr>
        <w:ind w:left="426"/>
        <w:rPr>
          <w:rFonts w:cstheme="minorHAnsi"/>
          <w:szCs w:val="24"/>
        </w:rPr>
      </w:pPr>
      <w:r w:rsidRPr="00143565">
        <w:rPr>
          <w:rFonts w:cstheme="minorHAnsi"/>
          <w:szCs w:val="24"/>
        </w:rPr>
        <w:t xml:space="preserve">En proyectos de obra social específicamente en programas de Pisos y Techos Firmes se ejercieron 18 millones de pesos, en la construcción de línea y red de distribución de energía eléctrica 10 millones de pesos;  </w:t>
      </w:r>
    </w:p>
    <w:p w:rsidR="00795434" w:rsidRPr="00143565" w:rsidRDefault="00795434" w:rsidP="00795434">
      <w:pPr>
        <w:pStyle w:val="Prrafodelista"/>
        <w:numPr>
          <w:ilvl w:val="0"/>
          <w:numId w:val="4"/>
        </w:numPr>
        <w:ind w:left="426"/>
        <w:rPr>
          <w:rFonts w:cstheme="minorHAnsi"/>
          <w:szCs w:val="24"/>
        </w:rPr>
      </w:pPr>
      <w:r w:rsidRPr="00143565">
        <w:rPr>
          <w:rFonts w:cstheme="minorHAnsi"/>
          <w:szCs w:val="24"/>
        </w:rPr>
        <w:t xml:space="preserve">Se han destinado 74 millones </w:t>
      </w:r>
      <w:r w:rsidRPr="00143565">
        <w:rPr>
          <w:szCs w:val="24"/>
        </w:rPr>
        <w:t>de pesos</w:t>
      </w:r>
      <w:r w:rsidRPr="00143565">
        <w:rPr>
          <w:rFonts w:cstheme="minorHAnsi"/>
          <w:szCs w:val="24"/>
        </w:rPr>
        <w:t xml:space="preserve"> a los sectores agrícola y ganadero y 63 millones </w:t>
      </w:r>
      <w:r w:rsidRPr="00143565">
        <w:rPr>
          <w:szCs w:val="24"/>
        </w:rPr>
        <w:t>de pesos</w:t>
      </w:r>
      <w:r w:rsidRPr="00143565">
        <w:rPr>
          <w:rFonts w:cstheme="minorHAnsi"/>
          <w:szCs w:val="24"/>
        </w:rPr>
        <w:t xml:space="preserve"> a producción pesquera y acuacultura, actividades primarias de la economía sinaloense;  </w:t>
      </w:r>
    </w:p>
    <w:p w:rsidR="00795434" w:rsidRPr="004F666B" w:rsidRDefault="00795434" w:rsidP="00795434">
      <w:pPr>
        <w:pStyle w:val="Prrafodelista"/>
        <w:numPr>
          <w:ilvl w:val="0"/>
          <w:numId w:val="4"/>
        </w:numPr>
        <w:ind w:left="426"/>
        <w:rPr>
          <w:rFonts w:cstheme="minorHAnsi"/>
          <w:i/>
          <w:szCs w:val="24"/>
        </w:rPr>
      </w:pPr>
      <w:r w:rsidRPr="00143565">
        <w:rPr>
          <w:rFonts w:cstheme="minorHAnsi"/>
          <w:szCs w:val="24"/>
        </w:rPr>
        <w:t>En el sector turístico en este proceso de reactivación económica ha iniciado su actividad a partir del segundo semestre bajo estrictos protocolos sanitarios y se ha invertido a la fecha en programas como campañas de promoción turística nacional hacia los destinos de Mazatlán, Culiacán y Los Mochis, además de promoción de destinos de agencias especiales de publicidad, acciones de promoción de viajes dentro del estado, difusión de la gastronomía sinaloense, así como diversas campañas de reactivación de la actividad turística a través de medios digitales; acciones que representan una erogación de 51 millones de pesos al tercer trimestre</w:t>
      </w:r>
      <w:r w:rsidRPr="004F666B">
        <w:rPr>
          <w:rFonts w:cstheme="minorHAnsi"/>
          <w:i/>
          <w:szCs w:val="24"/>
        </w:rPr>
        <w:t>.</w:t>
      </w:r>
    </w:p>
    <w:p w:rsidR="00795434" w:rsidRPr="004F666B" w:rsidRDefault="00795434" w:rsidP="00795434">
      <w:pPr>
        <w:rPr>
          <w:b/>
          <w:szCs w:val="24"/>
        </w:rPr>
      </w:pPr>
      <w:r w:rsidRPr="004F666B">
        <w:rPr>
          <w:rFonts w:cstheme="minorHAnsi"/>
          <w:szCs w:val="24"/>
        </w:rPr>
        <w:t xml:space="preserve">En lo que respecta a la Amortización de la Deuda y Disminución de Pasivos, se devengaron 147 millones </w:t>
      </w:r>
      <w:r w:rsidRPr="004F666B">
        <w:rPr>
          <w:szCs w:val="24"/>
        </w:rPr>
        <w:t>de pesos</w:t>
      </w:r>
      <w:r w:rsidRPr="004F666B">
        <w:rPr>
          <w:rFonts w:cstheme="minorHAnsi"/>
          <w:szCs w:val="24"/>
        </w:rPr>
        <w:t xml:space="preserve">; para el pago de pensionistas y jubilados o sus familias, se destinaron 2 mil 120 millones </w:t>
      </w:r>
      <w:r w:rsidRPr="004F666B">
        <w:rPr>
          <w:szCs w:val="24"/>
        </w:rPr>
        <w:t>de pesos</w:t>
      </w:r>
      <w:r w:rsidRPr="004F666B">
        <w:rPr>
          <w:rFonts w:cstheme="minorHAnsi"/>
          <w:szCs w:val="24"/>
        </w:rPr>
        <w:t xml:space="preserve">; </w:t>
      </w:r>
      <w:r w:rsidRPr="004F666B">
        <w:rPr>
          <w:szCs w:val="24"/>
        </w:rPr>
        <w:t xml:space="preserve">mientras que por concepto de </w:t>
      </w:r>
      <w:r w:rsidRPr="004F666B">
        <w:rPr>
          <w:rFonts w:cstheme="minorHAnsi"/>
          <w:szCs w:val="24"/>
        </w:rPr>
        <w:t xml:space="preserve">Participaciones y Aportaciones se registraron al mes de septiembre 2020 un total de 4 mil 132 millones de pesos. </w:t>
      </w:r>
    </w:p>
    <w:p w:rsidR="00B34986" w:rsidRDefault="00B34986" w:rsidP="00B34986"/>
    <w:p w:rsidR="004821C2" w:rsidRPr="00B34986" w:rsidRDefault="004821C2" w:rsidP="00B34986">
      <w:pPr>
        <w:pStyle w:val="Ttulo3"/>
        <w:spacing w:after="240"/>
        <w:rPr>
          <w:rFonts w:asciiTheme="minorHAnsi" w:hAnsiTheme="minorHAnsi" w:cstheme="minorHAnsi"/>
        </w:rPr>
      </w:pPr>
      <w:bookmarkStart w:id="71" w:name="_Toc55491776"/>
      <w:r w:rsidRPr="00B34986">
        <w:rPr>
          <w:rFonts w:asciiTheme="minorHAnsi" w:hAnsiTheme="minorHAnsi" w:cstheme="minorHAnsi"/>
        </w:rPr>
        <w:lastRenderedPageBreak/>
        <w:t>2.2.4 Clasificación Funcional</w:t>
      </w:r>
      <w:bookmarkEnd w:id="71"/>
    </w:p>
    <w:p w:rsidR="00710885" w:rsidRDefault="00710885" w:rsidP="00710885">
      <w:pPr>
        <w:spacing w:after="0"/>
        <w:rPr>
          <w:rFonts w:cstheme="minorHAnsi"/>
          <w:szCs w:val="24"/>
        </w:rPr>
      </w:pPr>
      <w:bookmarkStart w:id="72" w:name="_Toc521935714"/>
      <w:r w:rsidRPr="00EC3EFA">
        <w:rPr>
          <w:rFonts w:cstheme="minorHAnsi"/>
          <w:szCs w:val="24"/>
        </w:rPr>
        <w:t xml:space="preserve">Esta </w:t>
      </w:r>
      <w:r w:rsidRPr="000265D1">
        <w:rPr>
          <w:rFonts w:cstheme="minorHAnsi"/>
          <w:szCs w:val="24"/>
        </w:rPr>
        <w:t>clasificación identifica las actividades</w:t>
      </w:r>
      <w:r w:rsidRPr="00EC3EFA">
        <w:rPr>
          <w:rFonts w:cstheme="minorHAnsi"/>
          <w:szCs w:val="24"/>
        </w:rPr>
        <w:t xml:space="preserve"> que realiza el Estado para cumplir con sus fines de Desarrollo Social, Desarrollo Económico y Gobierno</w:t>
      </w:r>
      <w:r>
        <w:rPr>
          <w:rFonts w:cstheme="minorHAnsi"/>
          <w:szCs w:val="24"/>
        </w:rPr>
        <w:t xml:space="preserve">. </w:t>
      </w:r>
      <w:r w:rsidRPr="00EC3EFA">
        <w:rPr>
          <w:rFonts w:cstheme="minorHAnsi"/>
          <w:szCs w:val="24"/>
        </w:rPr>
        <w:t>Desde la perspectiva de la clasificación funcional, al término del tercer trimestre de 2020, se registró un gasto total de 41 mil 161 millones de pesos. La Finalidad que registró el mayor volumen de recursos fue Desarrollo Social, seguida</w:t>
      </w:r>
      <w:r>
        <w:rPr>
          <w:rFonts w:cstheme="minorHAnsi"/>
          <w:szCs w:val="24"/>
        </w:rPr>
        <w:t>s</w:t>
      </w:r>
      <w:r w:rsidRPr="00EC3EFA">
        <w:rPr>
          <w:rFonts w:cstheme="minorHAnsi"/>
          <w:szCs w:val="24"/>
        </w:rPr>
        <w:t xml:space="preserve"> las Finalidades </w:t>
      </w:r>
      <w:r>
        <w:rPr>
          <w:rFonts w:cstheme="minorHAnsi"/>
          <w:szCs w:val="24"/>
        </w:rPr>
        <w:t xml:space="preserve">de </w:t>
      </w:r>
      <w:r w:rsidRPr="00EC3EFA">
        <w:rPr>
          <w:rFonts w:cstheme="minorHAnsi"/>
          <w:szCs w:val="24"/>
        </w:rPr>
        <w:t>Gobierno y Desarrollo Económico.</w:t>
      </w:r>
    </w:p>
    <w:p w:rsidR="00710885" w:rsidRPr="00EC3EFA" w:rsidRDefault="00710885" w:rsidP="00710885">
      <w:pPr>
        <w:spacing w:after="0"/>
        <w:rPr>
          <w:rFonts w:cstheme="minorHAnsi"/>
          <w:sz w:val="2"/>
          <w:szCs w:val="2"/>
        </w:rPr>
      </w:pPr>
    </w:p>
    <w:p w:rsidR="00710885" w:rsidRPr="006A68B8" w:rsidRDefault="00710885" w:rsidP="00710885">
      <w:pPr>
        <w:jc w:val="center"/>
        <w:rPr>
          <w:rFonts w:cstheme="minorHAnsi"/>
          <w:szCs w:val="24"/>
        </w:rPr>
      </w:pPr>
      <w:r w:rsidRPr="000742B4">
        <w:rPr>
          <w:noProof/>
          <w:lang w:eastAsia="es-MX"/>
        </w:rPr>
        <w:drawing>
          <wp:inline distT="0" distB="0" distL="0" distR="0">
            <wp:extent cx="5612130" cy="6560185"/>
            <wp:effectExtent l="0" t="0" r="0" b="0"/>
            <wp:docPr id="3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12130" cy="6560185"/>
                    </a:xfrm>
                    <a:prstGeom prst="rect">
                      <a:avLst/>
                    </a:prstGeom>
                    <a:noFill/>
                    <a:ln>
                      <a:noFill/>
                    </a:ln>
                  </pic:spPr>
                </pic:pic>
              </a:graphicData>
            </a:graphic>
          </wp:inline>
        </w:drawing>
      </w:r>
    </w:p>
    <w:p w:rsidR="00710885" w:rsidRPr="006A68B8" w:rsidRDefault="00710885" w:rsidP="00710885">
      <w:pPr>
        <w:rPr>
          <w:rFonts w:cstheme="minorHAnsi"/>
          <w:szCs w:val="24"/>
        </w:rPr>
      </w:pPr>
      <w:bookmarkStart w:id="73" w:name="_Hlk47527134"/>
      <w:r w:rsidRPr="00EC3EFA">
        <w:rPr>
          <w:rFonts w:cstheme="minorHAnsi"/>
          <w:szCs w:val="24"/>
        </w:rPr>
        <w:lastRenderedPageBreak/>
        <w:t xml:space="preserve">La Finalidad de Gobierno devengó un gasto por 4 mil 962 millones de pesos, al concluir el tercer trimestre de 2020, en su estructura, las funciones de </w:t>
      </w:r>
      <w:r w:rsidRPr="00EC3EFA">
        <w:rPr>
          <w:rFonts w:cstheme="minorHAnsi"/>
          <w:i/>
          <w:iCs/>
          <w:szCs w:val="24"/>
        </w:rPr>
        <w:t>Justicia, Asuntos Financieros y Hacendarios</w:t>
      </w:r>
      <w:r w:rsidRPr="00EC3EFA">
        <w:rPr>
          <w:rFonts w:cstheme="minorHAnsi"/>
          <w:szCs w:val="24"/>
        </w:rPr>
        <w:t xml:space="preserve">, </w:t>
      </w:r>
      <w:r w:rsidRPr="00EC3EFA">
        <w:rPr>
          <w:rFonts w:cstheme="minorHAnsi"/>
          <w:i/>
          <w:iCs/>
          <w:szCs w:val="24"/>
        </w:rPr>
        <w:t>y Asuntos de Orden Público y de Seguridad Interior</w:t>
      </w:r>
      <w:r w:rsidRPr="00EC3EFA">
        <w:rPr>
          <w:rFonts w:cstheme="minorHAnsi"/>
          <w:szCs w:val="24"/>
        </w:rPr>
        <w:t xml:space="preserve">, mostraron un comportamiento del gasto sobresaliente dentro de esta </w:t>
      </w:r>
      <w:r>
        <w:rPr>
          <w:rFonts w:cstheme="minorHAnsi"/>
          <w:szCs w:val="24"/>
        </w:rPr>
        <w:t>f</w:t>
      </w:r>
      <w:r w:rsidRPr="00EC3EFA">
        <w:rPr>
          <w:rFonts w:cstheme="minorHAnsi"/>
          <w:szCs w:val="24"/>
        </w:rPr>
        <w:t>inalidad</w:t>
      </w:r>
      <w:r>
        <w:rPr>
          <w:rFonts w:cstheme="minorHAnsi"/>
          <w:szCs w:val="24"/>
        </w:rPr>
        <w:t>, a continuación</w:t>
      </w:r>
      <w:r w:rsidRPr="00A946C2">
        <w:rPr>
          <w:rFonts w:cstheme="minorHAnsi"/>
          <w:szCs w:val="24"/>
        </w:rPr>
        <w:t xml:space="preserve"> </w:t>
      </w:r>
      <w:r>
        <w:rPr>
          <w:rFonts w:cstheme="minorHAnsi"/>
          <w:szCs w:val="24"/>
        </w:rPr>
        <w:t xml:space="preserve">se detalla el ejercicio correspondiente a cada una de las funciones que la integran: </w:t>
      </w:r>
    </w:p>
    <w:p w:rsidR="00710885" w:rsidRDefault="00710885" w:rsidP="00710885">
      <w:pPr>
        <w:rPr>
          <w:rFonts w:cstheme="minorHAnsi"/>
          <w:szCs w:val="24"/>
        </w:rPr>
      </w:pPr>
      <w:r w:rsidRPr="00EC3EFA">
        <w:rPr>
          <w:rFonts w:cstheme="minorHAnsi"/>
          <w:szCs w:val="24"/>
        </w:rPr>
        <w:t xml:space="preserve">En la función </w:t>
      </w:r>
      <w:r w:rsidRPr="00EC3EFA">
        <w:rPr>
          <w:rFonts w:cstheme="minorHAnsi"/>
          <w:i/>
          <w:iCs/>
          <w:szCs w:val="24"/>
        </w:rPr>
        <w:t>Legislación</w:t>
      </w:r>
      <w:r w:rsidRPr="00EC3EFA">
        <w:rPr>
          <w:rFonts w:cstheme="minorHAnsi"/>
          <w:szCs w:val="24"/>
        </w:rPr>
        <w:t>, encargada del impulso de leyes y decretos a través del Congreso del Estado</w:t>
      </w:r>
      <w:r>
        <w:rPr>
          <w:rFonts w:cstheme="minorHAnsi"/>
          <w:szCs w:val="24"/>
        </w:rPr>
        <w:t>,</w:t>
      </w:r>
      <w:r w:rsidRPr="00EC3EFA">
        <w:rPr>
          <w:rFonts w:cstheme="minorHAnsi"/>
          <w:szCs w:val="24"/>
        </w:rPr>
        <w:t xml:space="preserve"> se tuvo un gasto de 310 millones de pesos</w:t>
      </w:r>
      <w:r>
        <w:rPr>
          <w:rFonts w:cstheme="minorHAnsi"/>
          <w:szCs w:val="24"/>
        </w:rPr>
        <w:t xml:space="preserve">, entre las que se consideran </w:t>
      </w:r>
      <w:r w:rsidRPr="00EC3EFA">
        <w:rPr>
          <w:rFonts w:cstheme="minorHAnsi"/>
          <w:szCs w:val="24"/>
        </w:rPr>
        <w:t>las acciones relativas a la rendición de cuentas que realiza la Auditoría Superior del Estado de Sinaloa, en la fiscalización de la cuenta pública.</w:t>
      </w:r>
    </w:p>
    <w:p w:rsidR="00710885" w:rsidRPr="00EC3EFA" w:rsidRDefault="00710885" w:rsidP="00710885">
      <w:pPr>
        <w:rPr>
          <w:rFonts w:cstheme="minorHAnsi"/>
          <w:szCs w:val="24"/>
        </w:rPr>
      </w:pPr>
      <w:r w:rsidRPr="00EC3EFA">
        <w:rPr>
          <w:rFonts w:cstheme="minorHAnsi"/>
          <w:szCs w:val="24"/>
        </w:rPr>
        <w:t xml:space="preserve">La administración de la </w:t>
      </w:r>
      <w:r w:rsidRPr="00EC3EFA">
        <w:rPr>
          <w:rFonts w:cstheme="minorHAnsi"/>
          <w:i/>
          <w:iCs/>
          <w:szCs w:val="24"/>
        </w:rPr>
        <w:t>Justicia</w:t>
      </w:r>
      <w:r w:rsidRPr="00EC3EFA">
        <w:rPr>
          <w:rFonts w:cstheme="minorHAnsi"/>
          <w:szCs w:val="24"/>
        </w:rPr>
        <w:t xml:space="preserve"> destinó 1 mil 593 millones de pesos, monto compuesto por acciones donde intervienen diferentes entidades públicas, entre las que </w:t>
      </w:r>
      <w:r>
        <w:rPr>
          <w:rFonts w:cstheme="minorHAnsi"/>
          <w:szCs w:val="24"/>
        </w:rPr>
        <w:t>destacan</w:t>
      </w:r>
      <w:r w:rsidRPr="00EC3EFA">
        <w:rPr>
          <w:rFonts w:cstheme="minorHAnsi"/>
          <w:szCs w:val="24"/>
        </w:rPr>
        <w:t>:</w:t>
      </w:r>
    </w:p>
    <w:p w:rsidR="00710885" w:rsidRPr="00EC3EFA" w:rsidRDefault="00710885" w:rsidP="00710885">
      <w:pPr>
        <w:pStyle w:val="Prrafodelista"/>
        <w:numPr>
          <w:ilvl w:val="0"/>
          <w:numId w:val="22"/>
        </w:numPr>
        <w:spacing w:after="200"/>
        <w:rPr>
          <w:rFonts w:cstheme="minorHAnsi"/>
          <w:szCs w:val="24"/>
        </w:rPr>
      </w:pPr>
      <w:r w:rsidRPr="00EC3EFA">
        <w:rPr>
          <w:rFonts w:cstheme="minorHAnsi"/>
          <w:szCs w:val="24"/>
        </w:rPr>
        <w:t>La Fiscalía General del Estado, que tiene a su cargo las labores de investigación de la Policía Ministerial en atención a los delitos de alto impacto.</w:t>
      </w:r>
    </w:p>
    <w:p w:rsidR="00710885" w:rsidRPr="00EC3EFA" w:rsidRDefault="00710885" w:rsidP="00710885">
      <w:pPr>
        <w:pStyle w:val="Prrafodelista"/>
        <w:numPr>
          <w:ilvl w:val="0"/>
          <w:numId w:val="22"/>
        </w:numPr>
        <w:spacing w:after="200"/>
        <w:rPr>
          <w:rFonts w:cstheme="minorHAnsi"/>
          <w:szCs w:val="24"/>
        </w:rPr>
      </w:pPr>
      <w:r w:rsidRPr="00EC3EFA">
        <w:rPr>
          <w:rFonts w:cstheme="minorHAnsi"/>
          <w:szCs w:val="24"/>
        </w:rPr>
        <w:t>La administración y gestión de los centros de reclusión que conforma el Sistema Penitenciario Estatal, adscritos a la Secretaría de Seguridad Pública.</w:t>
      </w:r>
    </w:p>
    <w:p w:rsidR="00710885" w:rsidRPr="00EC3EFA" w:rsidRDefault="00710885" w:rsidP="00710885">
      <w:pPr>
        <w:pStyle w:val="Prrafodelista"/>
        <w:numPr>
          <w:ilvl w:val="0"/>
          <w:numId w:val="22"/>
        </w:numPr>
        <w:spacing w:after="200"/>
        <w:rPr>
          <w:rFonts w:cstheme="minorHAnsi"/>
          <w:szCs w:val="24"/>
        </w:rPr>
      </w:pPr>
      <w:r w:rsidRPr="00EC3EFA">
        <w:rPr>
          <w:rFonts w:cstheme="minorHAnsi"/>
          <w:szCs w:val="24"/>
        </w:rPr>
        <w:t>La impartición de justicia por parte del Poder Judicial, el Tribunal de Justicia Administrativa y la Comisión Estatal de Derechos Humanos.</w:t>
      </w:r>
    </w:p>
    <w:p w:rsidR="00710885" w:rsidRDefault="00710885" w:rsidP="00710885">
      <w:pPr>
        <w:rPr>
          <w:rFonts w:cstheme="minorHAnsi"/>
          <w:szCs w:val="24"/>
        </w:rPr>
      </w:pPr>
      <w:r w:rsidRPr="006A68B8">
        <w:rPr>
          <w:rFonts w:cstheme="minorHAnsi"/>
          <w:szCs w:val="24"/>
        </w:rPr>
        <w:t xml:space="preserve">Al </w:t>
      </w:r>
      <w:r>
        <w:rPr>
          <w:rFonts w:cstheme="minorHAnsi"/>
          <w:szCs w:val="24"/>
        </w:rPr>
        <w:t>finalizar</w:t>
      </w:r>
      <w:r w:rsidRPr="006A68B8">
        <w:rPr>
          <w:rFonts w:cstheme="minorHAnsi"/>
          <w:szCs w:val="24"/>
        </w:rPr>
        <w:t xml:space="preserve"> el mes de </w:t>
      </w:r>
      <w:r>
        <w:rPr>
          <w:rFonts w:cstheme="minorHAnsi"/>
          <w:szCs w:val="24"/>
        </w:rPr>
        <w:t>septiembre</w:t>
      </w:r>
      <w:r w:rsidRPr="006A68B8">
        <w:rPr>
          <w:rFonts w:cstheme="minorHAnsi"/>
          <w:szCs w:val="24"/>
        </w:rPr>
        <w:t xml:space="preserve"> de 2020, se devengaron </w:t>
      </w:r>
      <w:r>
        <w:rPr>
          <w:rFonts w:cstheme="minorHAnsi"/>
          <w:szCs w:val="24"/>
        </w:rPr>
        <w:t>409</w:t>
      </w:r>
      <w:r w:rsidRPr="006A68B8">
        <w:rPr>
          <w:rFonts w:cstheme="minorHAnsi"/>
          <w:szCs w:val="24"/>
        </w:rPr>
        <w:t xml:space="preserve"> millones de pesos en la función </w:t>
      </w:r>
      <w:r w:rsidRPr="006A68B8">
        <w:rPr>
          <w:rFonts w:cstheme="minorHAnsi"/>
          <w:i/>
          <w:iCs/>
          <w:szCs w:val="24"/>
        </w:rPr>
        <w:t>Coordinación de la Política de Gobierno</w:t>
      </w:r>
      <w:r w:rsidRPr="006A68B8">
        <w:rPr>
          <w:rFonts w:cstheme="minorHAnsi"/>
          <w:szCs w:val="24"/>
        </w:rPr>
        <w:t xml:space="preserve">, </w:t>
      </w:r>
      <w:r>
        <w:rPr>
          <w:rFonts w:cstheme="minorHAnsi"/>
          <w:szCs w:val="24"/>
        </w:rPr>
        <w:t xml:space="preserve">en ella se incorporan las </w:t>
      </w:r>
      <w:r w:rsidRPr="00EC3EFA">
        <w:rPr>
          <w:rFonts w:cstheme="minorHAnsi"/>
          <w:szCs w:val="24"/>
        </w:rPr>
        <w:t>acciones enfocadas en la formulación y establecimiento de estrategias de gobierno</w:t>
      </w:r>
      <w:r>
        <w:rPr>
          <w:rFonts w:cstheme="minorHAnsi"/>
          <w:szCs w:val="24"/>
        </w:rPr>
        <w:t xml:space="preserve">, así como la </w:t>
      </w:r>
      <w:r w:rsidRPr="00EC3EFA">
        <w:rPr>
          <w:rFonts w:cstheme="minorHAnsi"/>
          <w:szCs w:val="24"/>
        </w:rPr>
        <w:t>consolidación de la política estatal anticorrupción</w:t>
      </w:r>
      <w:r>
        <w:rPr>
          <w:rFonts w:cstheme="minorHAnsi"/>
          <w:szCs w:val="24"/>
        </w:rPr>
        <w:t>, el</w:t>
      </w:r>
      <w:r w:rsidRPr="006A68B8">
        <w:rPr>
          <w:rFonts w:cstheme="minorHAnsi"/>
          <w:szCs w:val="24"/>
        </w:rPr>
        <w:t xml:space="preserve"> diseño y ejecución de la política interna y la gobernabilidad, </w:t>
      </w:r>
      <w:r>
        <w:rPr>
          <w:rFonts w:cstheme="minorHAnsi"/>
          <w:szCs w:val="24"/>
        </w:rPr>
        <w:t xml:space="preserve">además de </w:t>
      </w:r>
      <w:r w:rsidRPr="006A68B8">
        <w:rPr>
          <w:rFonts w:cstheme="minorHAnsi"/>
          <w:szCs w:val="24"/>
        </w:rPr>
        <w:t>diversos proyectos de la Secretaria General de Gobierno y el Financiamiento Público a Partidos Políticos y Organismos Electorales.</w:t>
      </w:r>
    </w:p>
    <w:p w:rsidR="00710885" w:rsidRPr="006A68B8" w:rsidRDefault="00710885" w:rsidP="00710885">
      <w:pPr>
        <w:rPr>
          <w:rFonts w:cstheme="minorHAnsi"/>
          <w:szCs w:val="24"/>
        </w:rPr>
      </w:pPr>
      <w:r w:rsidRPr="006A68B8">
        <w:rPr>
          <w:rFonts w:cstheme="minorHAnsi"/>
          <w:szCs w:val="24"/>
        </w:rPr>
        <w:t xml:space="preserve">En el análisis del comportamiento de la función </w:t>
      </w:r>
      <w:r w:rsidRPr="006A68B8">
        <w:rPr>
          <w:rFonts w:cstheme="minorHAnsi"/>
          <w:i/>
          <w:iCs/>
          <w:szCs w:val="24"/>
        </w:rPr>
        <w:t>Asuntos Financieros y Hacendarios</w:t>
      </w:r>
      <w:r w:rsidRPr="006A68B8">
        <w:rPr>
          <w:rFonts w:cstheme="minorHAnsi"/>
          <w:szCs w:val="24"/>
        </w:rPr>
        <w:t xml:space="preserve">, se identifica </w:t>
      </w:r>
      <w:r w:rsidRPr="00AD7254">
        <w:rPr>
          <w:rFonts w:cstheme="minorHAnsi"/>
          <w:szCs w:val="24"/>
        </w:rPr>
        <w:t xml:space="preserve">la operación de las políticas de ingreso, egreso y administración </w:t>
      </w:r>
      <w:r>
        <w:rPr>
          <w:rFonts w:cstheme="minorHAnsi"/>
          <w:szCs w:val="24"/>
        </w:rPr>
        <w:t xml:space="preserve">y </w:t>
      </w:r>
      <w:r w:rsidRPr="006A68B8">
        <w:rPr>
          <w:rFonts w:cstheme="minorHAnsi"/>
          <w:szCs w:val="24"/>
        </w:rPr>
        <w:t xml:space="preserve">el fortalecimiento en la recaudación a cargo del Sistema Tributario del Estado de Sinaloa (SATES), así como la gestión y administración de los recursos humanos del Gobierno Estatal </w:t>
      </w:r>
      <w:r>
        <w:rPr>
          <w:rFonts w:cstheme="minorHAnsi"/>
          <w:szCs w:val="24"/>
        </w:rPr>
        <w:t xml:space="preserve">principalmente, </w:t>
      </w:r>
      <w:r w:rsidRPr="006A68B8">
        <w:rPr>
          <w:rFonts w:cstheme="minorHAnsi"/>
          <w:szCs w:val="24"/>
        </w:rPr>
        <w:t xml:space="preserve">con </w:t>
      </w:r>
      <w:r>
        <w:rPr>
          <w:rFonts w:cstheme="minorHAnsi"/>
          <w:szCs w:val="24"/>
        </w:rPr>
        <w:t>un monto ejercido de 1 mil 254</w:t>
      </w:r>
      <w:r w:rsidRPr="006A68B8">
        <w:rPr>
          <w:rFonts w:cstheme="minorHAnsi"/>
          <w:szCs w:val="24"/>
        </w:rPr>
        <w:t xml:space="preserve"> millones de pesos.</w:t>
      </w:r>
    </w:p>
    <w:p w:rsidR="00710885" w:rsidRDefault="00710885" w:rsidP="00710885">
      <w:pPr>
        <w:rPr>
          <w:rFonts w:cstheme="minorHAnsi"/>
          <w:szCs w:val="24"/>
        </w:rPr>
      </w:pPr>
      <w:r w:rsidRPr="006A68B8">
        <w:rPr>
          <w:rFonts w:cstheme="minorHAnsi"/>
          <w:szCs w:val="24"/>
        </w:rPr>
        <w:t xml:space="preserve">Para efectuar acciones relacionadas con la prevención de conductas delictivas que forman parte de la función de </w:t>
      </w:r>
      <w:r w:rsidRPr="006A68B8">
        <w:rPr>
          <w:rFonts w:cstheme="minorHAnsi"/>
          <w:i/>
          <w:iCs/>
          <w:szCs w:val="24"/>
        </w:rPr>
        <w:t>Asuntos de Orden Público y de Seguridad Interior</w:t>
      </w:r>
      <w:r w:rsidRPr="006A68B8">
        <w:rPr>
          <w:rFonts w:cstheme="minorHAnsi"/>
          <w:szCs w:val="24"/>
        </w:rPr>
        <w:t xml:space="preserve">, se destinaron </w:t>
      </w:r>
      <w:r>
        <w:rPr>
          <w:rFonts w:cstheme="minorHAnsi"/>
          <w:szCs w:val="24"/>
        </w:rPr>
        <w:t>1 mil 152</w:t>
      </w:r>
      <w:r w:rsidRPr="006A68B8">
        <w:rPr>
          <w:rFonts w:cstheme="minorHAnsi"/>
          <w:szCs w:val="24"/>
        </w:rPr>
        <w:t xml:space="preserve"> millones de pesos</w:t>
      </w:r>
      <w:r>
        <w:rPr>
          <w:rFonts w:cstheme="minorHAnsi"/>
          <w:szCs w:val="24"/>
        </w:rPr>
        <w:t>, e</w:t>
      </w:r>
      <w:r w:rsidRPr="00AD7254">
        <w:rPr>
          <w:rFonts w:cstheme="minorHAnsi"/>
          <w:szCs w:val="24"/>
        </w:rPr>
        <w:t>stos recursos se dirigieron a dotar de infraestructura tecnológica para el monitoreo del sistema integral de video y vigilancia (C4i), a cargo del Secretariado Ejecutivo; al reforzamiento de la Policía Estatal Preventiva, que hace labores a favor del combate a delitos que afectan a la población sinaloense</w:t>
      </w:r>
      <w:r>
        <w:rPr>
          <w:rFonts w:cstheme="minorHAnsi"/>
          <w:szCs w:val="24"/>
        </w:rPr>
        <w:t>; Vialidad y Transporte</w:t>
      </w:r>
      <w:r w:rsidRPr="00AD7254">
        <w:rPr>
          <w:rFonts w:cstheme="minorHAnsi"/>
          <w:szCs w:val="24"/>
        </w:rPr>
        <w:t>. Se adicionan los recursos para administrar el Sistema Estatal de Protección Civil y a la atención y búsqueda de personas desaparecidas.</w:t>
      </w:r>
      <w:r>
        <w:rPr>
          <w:rFonts w:cstheme="minorHAnsi"/>
          <w:szCs w:val="24"/>
        </w:rPr>
        <w:t xml:space="preserve"> </w:t>
      </w:r>
    </w:p>
    <w:p w:rsidR="00710885" w:rsidRPr="006A68B8" w:rsidRDefault="00710885" w:rsidP="00710885">
      <w:pPr>
        <w:rPr>
          <w:rFonts w:cstheme="minorHAnsi"/>
          <w:szCs w:val="24"/>
        </w:rPr>
      </w:pPr>
      <w:r w:rsidRPr="006A68B8">
        <w:rPr>
          <w:rFonts w:cstheme="minorHAnsi"/>
          <w:szCs w:val="24"/>
        </w:rPr>
        <w:lastRenderedPageBreak/>
        <w:t xml:space="preserve">Se orientaron </w:t>
      </w:r>
      <w:r>
        <w:rPr>
          <w:rFonts w:cstheme="minorHAnsi"/>
          <w:szCs w:val="24"/>
        </w:rPr>
        <w:t>243</w:t>
      </w:r>
      <w:r w:rsidRPr="006A68B8">
        <w:rPr>
          <w:rFonts w:cstheme="minorHAnsi"/>
          <w:szCs w:val="24"/>
        </w:rPr>
        <w:t xml:space="preserve"> millones de pesos a la función </w:t>
      </w:r>
      <w:r w:rsidRPr="006A68B8">
        <w:rPr>
          <w:rFonts w:cstheme="minorHAnsi"/>
          <w:i/>
          <w:iCs/>
          <w:szCs w:val="24"/>
        </w:rPr>
        <w:t>Otros Servicios Generales</w:t>
      </w:r>
      <w:r w:rsidRPr="006A68B8">
        <w:rPr>
          <w:rFonts w:cstheme="minorHAnsi"/>
          <w:szCs w:val="24"/>
        </w:rPr>
        <w:t xml:space="preserve">, </w:t>
      </w:r>
      <w:r>
        <w:rPr>
          <w:rFonts w:cstheme="minorHAnsi"/>
          <w:szCs w:val="24"/>
        </w:rPr>
        <w:t xml:space="preserve">empleados </w:t>
      </w:r>
      <w:r w:rsidRPr="006A68B8">
        <w:rPr>
          <w:rFonts w:cstheme="minorHAnsi"/>
          <w:szCs w:val="24"/>
        </w:rPr>
        <w:t>principalmente a</w:t>
      </w:r>
      <w:r>
        <w:rPr>
          <w:rFonts w:cstheme="minorHAnsi"/>
          <w:szCs w:val="24"/>
        </w:rPr>
        <w:t xml:space="preserve"> las </w:t>
      </w:r>
      <w:r w:rsidRPr="006A68B8">
        <w:rPr>
          <w:rFonts w:cstheme="minorHAnsi"/>
          <w:szCs w:val="24"/>
        </w:rPr>
        <w:t>actividades de</w:t>
      </w:r>
      <w:r>
        <w:rPr>
          <w:rFonts w:cstheme="minorHAnsi"/>
          <w:szCs w:val="24"/>
        </w:rPr>
        <w:t xml:space="preserve"> prestación de servicios ofrecidas por</w:t>
      </w:r>
      <w:r w:rsidRPr="006A68B8">
        <w:rPr>
          <w:rFonts w:cstheme="minorHAnsi"/>
          <w:szCs w:val="24"/>
        </w:rPr>
        <w:t xml:space="preserve"> la Secretaría General de Gobierno </w:t>
      </w:r>
      <w:r>
        <w:rPr>
          <w:rFonts w:cstheme="minorHAnsi"/>
          <w:szCs w:val="24"/>
        </w:rPr>
        <w:t xml:space="preserve">a través de </w:t>
      </w:r>
      <w:r w:rsidRPr="006A68B8">
        <w:rPr>
          <w:rFonts w:cstheme="minorHAnsi"/>
          <w:szCs w:val="24"/>
        </w:rPr>
        <w:t>la operación del Registro Civil; el Registro Público de la Propiedad y del Comercio; y el Instituto Catastral del Estado de Sinaloa, adscrito a la Secretaría de Administración y Finanzas</w:t>
      </w:r>
      <w:r>
        <w:rPr>
          <w:rFonts w:cstheme="minorHAnsi"/>
          <w:szCs w:val="24"/>
        </w:rPr>
        <w:t xml:space="preserve">, con la intención de </w:t>
      </w:r>
      <w:r w:rsidRPr="00AD7254">
        <w:rPr>
          <w:rFonts w:cstheme="minorHAnsi"/>
          <w:szCs w:val="24"/>
        </w:rPr>
        <w:t>para garantizar certeza jurídica a los habitantes del Estado.</w:t>
      </w:r>
    </w:p>
    <w:p w:rsidR="00710885" w:rsidRPr="006A68B8" w:rsidRDefault="00710885" w:rsidP="00710885">
      <w:pPr>
        <w:rPr>
          <w:rFonts w:cstheme="minorHAnsi"/>
          <w:szCs w:val="24"/>
        </w:rPr>
      </w:pPr>
      <w:r>
        <w:rPr>
          <w:rFonts w:cstheme="minorHAnsi"/>
          <w:szCs w:val="24"/>
        </w:rPr>
        <w:t xml:space="preserve">En atención a la emergencia sanitaria ocasionada por </w:t>
      </w:r>
      <w:r w:rsidRPr="006A68B8">
        <w:rPr>
          <w:rFonts w:cstheme="minorHAnsi"/>
          <w:szCs w:val="24"/>
        </w:rPr>
        <w:t xml:space="preserve">COVID-19, </w:t>
      </w:r>
      <w:r>
        <w:rPr>
          <w:rFonts w:cstheme="minorHAnsi"/>
          <w:szCs w:val="24"/>
        </w:rPr>
        <w:t xml:space="preserve">al concluir el tercer trimestre, la administración consideró </w:t>
      </w:r>
      <w:r w:rsidRPr="006A68B8">
        <w:rPr>
          <w:rFonts w:cstheme="minorHAnsi"/>
          <w:szCs w:val="24"/>
        </w:rPr>
        <w:t>necesario dirigir mayores recursos al gasto social</w:t>
      </w:r>
      <w:r>
        <w:rPr>
          <w:rFonts w:cstheme="minorHAnsi"/>
          <w:szCs w:val="24"/>
        </w:rPr>
        <w:t xml:space="preserve">, beneficiando rubros </w:t>
      </w:r>
      <w:r w:rsidRPr="006A68B8">
        <w:rPr>
          <w:rFonts w:cstheme="minorHAnsi"/>
          <w:szCs w:val="24"/>
        </w:rPr>
        <w:t xml:space="preserve">como salud, educación y apoyos a los sectores más vulnerables de la población. </w:t>
      </w:r>
      <w:r>
        <w:rPr>
          <w:rFonts w:cstheme="minorHAnsi"/>
          <w:szCs w:val="24"/>
        </w:rPr>
        <w:t xml:space="preserve">En este sentido, fueron ejercidos 26 mil 669 millones de pesos en la </w:t>
      </w:r>
      <w:r w:rsidRPr="006A68B8">
        <w:rPr>
          <w:rFonts w:cstheme="minorHAnsi"/>
          <w:szCs w:val="24"/>
        </w:rPr>
        <w:t xml:space="preserve">Finalidad de Desarrollo Social, encauzados en funciones primordiales como lo son </w:t>
      </w:r>
      <w:r w:rsidRPr="006A68B8">
        <w:rPr>
          <w:rFonts w:cstheme="minorHAnsi"/>
          <w:i/>
          <w:iCs/>
          <w:szCs w:val="24"/>
        </w:rPr>
        <w:t>Educación, Salud, Vivienda y Servicios a la Comunidad y Protección Social</w:t>
      </w:r>
      <w:r w:rsidRPr="006A68B8">
        <w:rPr>
          <w:rFonts w:cstheme="minorHAnsi"/>
          <w:szCs w:val="24"/>
        </w:rPr>
        <w:t>, mismas que se detallarán posteriormente.</w:t>
      </w:r>
    </w:p>
    <w:p w:rsidR="00710885" w:rsidRDefault="00710885" w:rsidP="00710885">
      <w:pPr>
        <w:rPr>
          <w:rFonts w:cstheme="minorHAnsi"/>
          <w:szCs w:val="24"/>
        </w:rPr>
      </w:pPr>
      <w:r>
        <w:rPr>
          <w:rFonts w:cstheme="minorHAnsi"/>
          <w:szCs w:val="24"/>
        </w:rPr>
        <w:t>E</w:t>
      </w:r>
      <w:r w:rsidRPr="006A68B8">
        <w:rPr>
          <w:rFonts w:cstheme="minorHAnsi"/>
          <w:szCs w:val="24"/>
        </w:rPr>
        <w:t xml:space="preserve">n la función de </w:t>
      </w:r>
      <w:r w:rsidRPr="006A68B8">
        <w:rPr>
          <w:rFonts w:cstheme="minorHAnsi"/>
          <w:i/>
          <w:iCs/>
          <w:szCs w:val="24"/>
        </w:rPr>
        <w:t>Protección Ambiental,</w:t>
      </w:r>
      <w:r w:rsidRPr="006A68B8">
        <w:rPr>
          <w:rFonts w:cstheme="minorHAnsi"/>
          <w:szCs w:val="24"/>
        </w:rPr>
        <w:t xml:space="preserve"> </w:t>
      </w:r>
      <w:r>
        <w:rPr>
          <w:rFonts w:cstheme="minorHAnsi"/>
          <w:szCs w:val="24"/>
        </w:rPr>
        <w:t>se ejercieron 137 millones de pesos, con el desarrollo de actividades enfocadas al or</w:t>
      </w:r>
      <w:r w:rsidRPr="006F1280">
        <w:rPr>
          <w:rFonts w:cstheme="minorHAnsi"/>
          <w:szCs w:val="24"/>
        </w:rPr>
        <w:t>dena</w:t>
      </w:r>
      <w:r>
        <w:rPr>
          <w:rFonts w:cstheme="minorHAnsi"/>
          <w:szCs w:val="24"/>
        </w:rPr>
        <w:t xml:space="preserve">miento </w:t>
      </w:r>
      <w:r w:rsidRPr="006F1280">
        <w:rPr>
          <w:rFonts w:cstheme="minorHAnsi"/>
          <w:szCs w:val="24"/>
        </w:rPr>
        <w:t xml:space="preserve">de aguas residuales y la administración de los recursos hídricos, con la participación de la Secretaría de Desarrollo Sustentable y de la Comisión Estatal de Agua Potable y Alcantarillado de Sinaloa. </w:t>
      </w:r>
    </w:p>
    <w:p w:rsidR="00710885" w:rsidRPr="006A68B8" w:rsidRDefault="00710885" w:rsidP="00710885">
      <w:pPr>
        <w:rPr>
          <w:rFonts w:cstheme="minorHAnsi"/>
          <w:szCs w:val="24"/>
        </w:rPr>
      </w:pPr>
      <w:r>
        <w:rPr>
          <w:rFonts w:cstheme="minorHAnsi"/>
          <w:szCs w:val="24"/>
        </w:rPr>
        <w:t xml:space="preserve">En lo que respecta </w:t>
      </w:r>
      <w:r w:rsidRPr="006A68B8">
        <w:rPr>
          <w:rFonts w:cstheme="minorHAnsi"/>
          <w:szCs w:val="24"/>
        </w:rPr>
        <w:t xml:space="preserve">a la función de </w:t>
      </w:r>
      <w:r w:rsidRPr="006A68B8">
        <w:rPr>
          <w:rFonts w:cstheme="minorHAnsi"/>
          <w:i/>
          <w:iCs/>
          <w:szCs w:val="24"/>
        </w:rPr>
        <w:t>Vivienda y Servicios a la Comunidad</w:t>
      </w:r>
      <w:r w:rsidRPr="006A68B8">
        <w:rPr>
          <w:rFonts w:cstheme="minorHAnsi"/>
          <w:szCs w:val="24"/>
        </w:rPr>
        <w:t xml:space="preserve">, el monto ejercido fue de 1 mil </w:t>
      </w:r>
      <w:r>
        <w:rPr>
          <w:rFonts w:cstheme="minorHAnsi"/>
          <w:szCs w:val="24"/>
        </w:rPr>
        <w:t>591</w:t>
      </w:r>
      <w:r w:rsidRPr="006A68B8">
        <w:rPr>
          <w:rFonts w:cstheme="minorHAnsi"/>
          <w:szCs w:val="24"/>
        </w:rPr>
        <w:t xml:space="preserve"> millones de pesos, </w:t>
      </w:r>
      <w:r>
        <w:rPr>
          <w:rFonts w:cstheme="minorHAnsi"/>
          <w:szCs w:val="24"/>
        </w:rPr>
        <w:t xml:space="preserve">ejercidos principalmente por la </w:t>
      </w:r>
      <w:r w:rsidRPr="006A68B8">
        <w:rPr>
          <w:rFonts w:cstheme="minorHAnsi"/>
          <w:szCs w:val="24"/>
        </w:rPr>
        <w:t>Secretar</w:t>
      </w:r>
      <w:r>
        <w:rPr>
          <w:rFonts w:cstheme="minorHAnsi"/>
          <w:szCs w:val="24"/>
        </w:rPr>
        <w:t>í</w:t>
      </w:r>
      <w:r w:rsidRPr="006A68B8">
        <w:rPr>
          <w:rFonts w:cstheme="minorHAnsi"/>
          <w:szCs w:val="24"/>
        </w:rPr>
        <w:t xml:space="preserve">a de Obras Públicas, la Secretaría de Desarrollo Sustentable y la Secretaria de Desarrollo Social </w:t>
      </w:r>
      <w:r>
        <w:rPr>
          <w:rFonts w:cstheme="minorHAnsi"/>
          <w:szCs w:val="24"/>
        </w:rPr>
        <w:t xml:space="preserve">a </w:t>
      </w:r>
      <w:r w:rsidRPr="006A68B8">
        <w:rPr>
          <w:rFonts w:cstheme="minorHAnsi"/>
          <w:szCs w:val="24"/>
        </w:rPr>
        <w:t xml:space="preserve">favor </w:t>
      </w:r>
      <w:r>
        <w:rPr>
          <w:rFonts w:cstheme="minorHAnsi"/>
          <w:szCs w:val="24"/>
        </w:rPr>
        <w:t xml:space="preserve">sectores </w:t>
      </w:r>
      <w:r w:rsidRPr="006A68B8">
        <w:rPr>
          <w:rFonts w:cstheme="minorHAnsi"/>
          <w:szCs w:val="24"/>
        </w:rPr>
        <w:t xml:space="preserve">vulnerables </w:t>
      </w:r>
      <w:r>
        <w:rPr>
          <w:rFonts w:cstheme="minorHAnsi"/>
          <w:szCs w:val="24"/>
        </w:rPr>
        <w:t>en el</w:t>
      </w:r>
      <w:r w:rsidRPr="006A68B8">
        <w:rPr>
          <w:rFonts w:cstheme="minorHAnsi"/>
          <w:szCs w:val="24"/>
        </w:rPr>
        <w:t xml:space="preserve"> estado,</w:t>
      </w:r>
      <w:r>
        <w:rPr>
          <w:rFonts w:cstheme="minorHAnsi"/>
          <w:szCs w:val="24"/>
        </w:rPr>
        <w:t xml:space="preserve"> y cuyas aplicaciones se efectuaron de la siguiente manera:</w:t>
      </w:r>
    </w:p>
    <w:p w:rsidR="00710885" w:rsidRDefault="00710885" w:rsidP="00710885">
      <w:pPr>
        <w:pStyle w:val="Prrafodelista"/>
        <w:numPr>
          <w:ilvl w:val="0"/>
          <w:numId w:val="17"/>
        </w:numPr>
        <w:spacing w:after="200"/>
        <w:rPr>
          <w:szCs w:val="24"/>
        </w:rPr>
      </w:pPr>
      <w:r>
        <w:rPr>
          <w:szCs w:val="24"/>
        </w:rPr>
        <w:t xml:space="preserve">Infraestructura deportiva y </w:t>
      </w:r>
      <w:r w:rsidRPr="006A68B8">
        <w:rPr>
          <w:szCs w:val="24"/>
        </w:rPr>
        <w:t>urbana, en la que se considera la pavimentación con concreto hidráulico;</w:t>
      </w:r>
    </w:p>
    <w:p w:rsidR="00710885" w:rsidRPr="006A68B8" w:rsidRDefault="00710885" w:rsidP="00710885">
      <w:pPr>
        <w:pStyle w:val="Prrafodelista"/>
        <w:numPr>
          <w:ilvl w:val="0"/>
          <w:numId w:val="17"/>
        </w:numPr>
        <w:spacing w:after="200"/>
        <w:rPr>
          <w:szCs w:val="24"/>
        </w:rPr>
      </w:pPr>
      <w:r w:rsidRPr="006A68B8">
        <w:rPr>
          <w:szCs w:val="24"/>
        </w:rPr>
        <w:t>Revestimiento y construcción de obras para mitigación de inundaciones a cargo de la Secretaría de Obras Públicas;</w:t>
      </w:r>
    </w:p>
    <w:p w:rsidR="00710885" w:rsidRPr="006A68B8" w:rsidRDefault="00710885" w:rsidP="00710885">
      <w:pPr>
        <w:pStyle w:val="Prrafodelista"/>
        <w:numPr>
          <w:ilvl w:val="0"/>
          <w:numId w:val="17"/>
        </w:numPr>
        <w:spacing w:after="200"/>
        <w:rPr>
          <w:szCs w:val="24"/>
        </w:rPr>
      </w:pPr>
      <w:r w:rsidRPr="006A68B8">
        <w:rPr>
          <w:szCs w:val="24"/>
        </w:rPr>
        <w:t>Proyectos de infraestructura hidráulica y vialidades atendidas con recursos provenientes del Fondo Metropolitano;</w:t>
      </w:r>
    </w:p>
    <w:p w:rsidR="00710885" w:rsidRPr="006A68B8" w:rsidRDefault="00710885" w:rsidP="00710885">
      <w:pPr>
        <w:pStyle w:val="Prrafodelista"/>
        <w:numPr>
          <w:ilvl w:val="0"/>
          <w:numId w:val="17"/>
        </w:numPr>
        <w:spacing w:after="200"/>
        <w:rPr>
          <w:szCs w:val="24"/>
        </w:rPr>
      </w:pPr>
      <w:r>
        <w:rPr>
          <w:szCs w:val="24"/>
        </w:rPr>
        <w:t xml:space="preserve">Programa de combate al rezago habitacional y </w:t>
      </w:r>
      <w:r w:rsidRPr="006A68B8">
        <w:rPr>
          <w:szCs w:val="24"/>
        </w:rPr>
        <w:t xml:space="preserve">Programa de </w:t>
      </w:r>
      <w:r w:rsidRPr="006A68B8">
        <w:rPr>
          <w:rFonts w:cstheme="minorHAnsi"/>
          <w:szCs w:val="24"/>
        </w:rPr>
        <w:t>techos y pisos firmes</w:t>
      </w:r>
      <w:r w:rsidRPr="006A68B8">
        <w:rPr>
          <w:szCs w:val="24"/>
        </w:rPr>
        <w:t xml:space="preserve"> en los 18 municipios de la entidad.</w:t>
      </w:r>
    </w:p>
    <w:p w:rsidR="00710885" w:rsidRPr="00E43C13" w:rsidRDefault="00710885" w:rsidP="00710885">
      <w:pPr>
        <w:rPr>
          <w:rFonts w:cstheme="minorHAnsi"/>
          <w:szCs w:val="24"/>
        </w:rPr>
      </w:pPr>
      <w:r>
        <w:rPr>
          <w:rFonts w:cstheme="minorHAnsi"/>
          <w:szCs w:val="24"/>
        </w:rPr>
        <w:t>Al tercer trimestre 2020  la función</w:t>
      </w:r>
      <w:r w:rsidRPr="00AE2A97">
        <w:rPr>
          <w:rFonts w:cstheme="minorHAnsi"/>
          <w:szCs w:val="24"/>
        </w:rPr>
        <w:t xml:space="preserve"> </w:t>
      </w:r>
      <w:r w:rsidRPr="00E43C13">
        <w:rPr>
          <w:rFonts w:cstheme="minorHAnsi"/>
          <w:i/>
          <w:szCs w:val="24"/>
        </w:rPr>
        <w:t>Salud</w:t>
      </w:r>
      <w:r>
        <w:rPr>
          <w:rFonts w:cstheme="minorHAnsi"/>
          <w:i/>
          <w:szCs w:val="24"/>
        </w:rPr>
        <w:t xml:space="preserve"> </w:t>
      </w:r>
      <w:r>
        <w:rPr>
          <w:rFonts w:cstheme="minorHAnsi"/>
          <w:szCs w:val="24"/>
        </w:rPr>
        <w:t>ha registrado un ejercido de</w:t>
      </w:r>
      <w:r w:rsidRPr="00C224CE">
        <w:rPr>
          <w:rFonts w:cstheme="minorHAnsi"/>
          <w:szCs w:val="24"/>
        </w:rPr>
        <w:t xml:space="preserve"> 4 mil 755 millones de pesos, </w:t>
      </w:r>
      <w:r w:rsidRPr="00AE2A97">
        <w:rPr>
          <w:rFonts w:cstheme="minorHAnsi"/>
          <w:szCs w:val="24"/>
        </w:rPr>
        <w:t xml:space="preserve">que representa el </w:t>
      </w:r>
      <w:r>
        <w:rPr>
          <w:rFonts w:cstheme="minorHAnsi"/>
          <w:szCs w:val="24"/>
        </w:rPr>
        <w:t>18</w:t>
      </w:r>
      <w:r w:rsidRPr="00AE2A97">
        <w:rPr>
          <w:rFonts w:cstheme="minorHAnsi"/>
          <w:szCs w:val="24"/>
        </w:rPr>
        <w:t>% del recurso total de la Finalidad de Desarrollo Socia</w:t>
      </w:r>
      <w:r>
        <w:rPr>
          <w:rFonts w:cstheme="minorHAnsi"/>
          <w:szCs w:val="24"/>
        </w:rPr>
        <w:t xml:space="preserve">l, dirigidos principalmente al Hospital Civil de Culiacán y a los </w:t>
      </w:r>
      <w:r w:rsidRPr="00AE2A97">
        <w:rPr>
          <w:rFonts w:cstheme="minorHAnsi"/>
          <w:szCs w:val="24"/>
        </w:rPr>
        <w:t xml:space="preserve"> Servicios de Salud de Sinaloa</w:t>
      </w:r>
      <w:r>
        <w:rPr>
          <w:rFonts w:cstheme="minorHAnsi"/>
          <w:szCs w:val="24"/>
        </w:rPr>
        <w:t xml:space="preserve"> encargados de la red hospitalaria estatal, por su parte se asignaron recursos federales a programas de Prevención y Atención a la Salud y </w:t>
      </w:r>
      <w:r w:rsidRPr="006F1280">
        <w:rPr>
          <w:rFonts w:cstheme="minorHAnsi"/>
          <w:szCs w:val="24"/>
        </w:rPr>
        <w:t xml:space="preserve">al Instituto de Salud para el Bienestar </w:t>
      </w:r>
      <w:r w:rsidRPr="006F1280">
        <w:rPr>
          <w:rFonts w:cstheme="minorHAnsi"/>
          <w:szCs w:val="24"/>
        </w:rPr>
        <w:lastRenderedPageBreak/>
        <w:t xml:space="preserve">(INSABI), así como </w:t>
      </w:r>
      <w:r>
        <w:rPr>
          <w:rFonts w:cstheme="minorHAnsi"/>
          <w:szCs w:val="24"/>
        </w:rPr>
        <w:t xml:space="preserve">la distribución de medicamentos gratuitos para la población sin seguridad social </w:t>
      </w:r>
      <w:r w:rsidRPr="00AE2A97">
        <w:rPr>
          <w:rFonts w:cstheme="minorHAnsi"/>
          <w:szCs w:val="24"/>
        </w:rPr>
        <w:t>y obras en infraestructura hospitalaria del</w:t>
      </w:r>
      <w:r w:rsidRPr="00E43C13">
        <w:rPr>
          <w:rFonts w:cstheme="minorHAnsi"/>
          <w:szCs w:val="24"/>
        </w:rPr>
        <w:t xml:space="preserve"> estado.</w:t>
      </w:r>
    </w:p>
    <w:p w:rsidR="00710885" w:rsidRDefault="00710885" w:rsidP="00710885">
      <w:pPr>
        <w:rPr>
          <w:rFonts w:cstheme="minorHAnsi"/>
          <w:szCs w:val="24"/>
        </w:rPr>
      </w:pPr>
      <w:r w:rsidRPr="00A2168F">
        <w:rPr>
          <w:rFonts w:cstheme="minorHAnsi"/>
          <w:szCs w:val="24"/>
        </w:rPr>
        <w:t>Los proyectos relacionados con el deporte</w:t>
      </w:r>
      <w:r>
        <w:rPr>
          <w:rFonts w:cstheme="minorHAnsi"/>
          <w:szCs w:val="24"/>
        </w:rPr>
        <w:t xml:space="preserve">, fomento artístico y </w:t>
      </w:r>
      <w:r w:rsidRPr="00A2168F">
        <w:rPr>
          <w:rFonts w:cstheme="minorHAnsi"/>
          <w:szCs w:val="24"/>
        </w:rPr>
        <w:t>cultura</w:t>
      </w:r>
      <w:r>
        <w:rPr>
          <w:rFonts w:cstheme="minorHAnsi"/>
          <w:szCs w:val="24"/>
        </w:rPr>
        <w:t>l de la ciudadanía, que forman parte de</w:t>
      </w:r>
      <w:r w:rsidRPr="006A68B8">
        <w:rPr>
          <w:rFonts w:cstheme="minorHAnsi"/>
          <w:szCs w:val="24"/>
        </w:rPr>
        <w:t xml:space="preserve"> la </w:t>
      </w:r>
      <w:r w:rsidRPr="00C11A52">
        <w:rPr>
          <w:rFonts w:cstheme="minorHAnsi"/>
          <w:szCs w:val="24"/>
        </w:rPr>
        <w:t xml:space="preserve">función de </w:t>
      </w:r>
      <w:r w:rsidRPr="00C11A52">
        <w:rPr>
          <w:rFonts w:cstheme="minorHAnsi"/>
          <w:i/>
          <w:iCs/>
          <w:szCs w:val="24"/>
        </w:rPr>
        <w:t>Recreación, Cultura y Otras Manifestaciones Sociales</w:t>
      </w:r>
      <w:r w:rsidRPr="00C11A52">
        <w:rPr>
          <w:rFonts w:cstheme="minorHAnsi"/>
          <w:szCs w:val="24"/>
        </w:rPr>
        <w:t xml:space="preserve">, </w:t>
      </w:r>
      <w:r>
        <w:rPr>
          <w:rFonts w:cstheme="minorHAnsi"/>
          <w:szCs w:val="24"/>
        </w:rPr>
        <w:t>devengaron 228</w:t>
      </w:r>
      <w:r w:rsidRPr="00C11A52">
        <w:rPr>
          <w:rFonts w:cstheme="minorHAnsi"/>
          <w:szCs w:val="24"/>
        </w:rPr>
        <w:t xml:space="preserve"> millones de pesos</w:t>
      </w:r>
      <w:r>
        <w:rPr>
          <w:rFonts w:cstheme="minorHAnsi"/>
          <w:szCs w:val="24"/>
        </w:rPr>
        <w:t xml:space="preserve">, de los cuales 92 millones corresponden al Instituto Sinaloense del Deporte y la Cultura Física y 100 millones de pesos al Instituto Sinaloense de la Cultura. </w:t>
      </w:r>
    </w:p>
    <w:p w:rsidR="00710885" w:rsidRPr="006A68B8" w:rsidRDefault="00710885" w:rsidP="00710885">
      <w:pPr>
        <w:rPr>
          <w:rFonts w:cstheme="minorHAnsi"/>
          <w:szCs w:val="24"/>
        </w:rPr>
      </w:pPr>
      <w:r>
        <w:rPr>
          <w:rFonts w:cstheme="minorHAnsi"/>
          <w:szCs w:val="24"/>
        </w:rPr>
        <w:t>En cuanto a l</w:t>
      </w:r>
      <w:r w:rsidRPr="006A68B8">
        <w:rPr>
          <w:rFonts w:cstheme="minorHAnsi"/>
          <w:szCs w:val="24"/>
        </w:rPr>
        <w:t xml:space="preserve">as erogaciones </w:t>
      </w:r>
      <w:r>
        <w:rPr>
          <w:rFonts w:cstheme="minorHAnsi"/>
          <w:szCs w:val="24"/>
        </w:rPr>
        <w:t xml:space="preserve">correspondientes a </w:t>
      </w:r>
      <w:r w:rsidRPr="006A68B8">
        <w:rPr>
          <w:rFonts w:cstheme="minorHAnsi"/>
          <w:szCs w:val="24"/>
        </w:rPr>
        <w:t xml:space="preserve">la función de </w:t>
      </w:r>
      <w:r w:rsidRPr="006A68B8">
        <w:rPr>
          <w:rFonts w:cstheme="minorHAnsi"/>
          <w:i/>
          <w:iCs/>
          <w:szCs w:val="24"/>
        </w:rPr>
        <w:t>Educación</w:t>
      </w:r>
      <w:r>
        <w:rPr>
          <w:rFonts w:cstheme="minorHAnsi"/>
          <w:i/>
          <w:iCs/>
          <w:szCs w:val="24"/>
        </w:rPr>
        <w:t>,</w:t>
      </w:r>
      <w:r w:rsidRPr="006A68B8">
        <w:rPr>
          <w:rFonts w:cstheme="minorHAnsi"/>
          <w:szCs w:val="24"/>
        </w:rPr>
        <w:t xml:space="preserve"> </w:t>
      </w:r>
      <w:r>
        <w:rPr>
          <w:rFonts w:cstheme="minorHAnsi"/>
          <w:szCs w:val="24"/>
        </w:rPr>
        <w:t xml:space="preserve">estas </w:t>
      </w:r>
      <w:r w:rsidRPr="00A4258D">
        <w:rPr>
          <w:rFonts w:cstheme="minorHAnsi"/>
          <w:szCs w:val="24"/>
        </w:rPr>
        <w:t xml:space="preserve">representaron un ejercicio de 17 mil 146 millones de pesos, de los cuales se destinaron 13 mil 865 millones </w:t>
      </w:r>
      <w:r w:rsidRPr="00A4258D">
        <w:rPr>
          <w:szCs w:val="24"/>
        </w:rPr>
        <w:t>de pesos,</w:t>
      </w:r>
      <w:r w:rsidRPr="00A4258D">
        <w:rPr>
          <w:rFonts w:cstheme="minorHAnsi"/>
          <w:szCs w:val="24"/>
        </w:rPr>
        <w:t xml:space="preserve"> transferidos a las Entidades Públicas Descentralizadas de SEPyC, entre</w:t>
      </w:r>
      <w:r w:rsidRPr="006A68B8">
        <w:rPr>
          <w:rFonts w:cstheme="minorHAnsi"/>
          <w:szCs w:val="24"/>
        </w:rPr>
        <w:t xml:space="preserve"> las que destacan los Servicios de Educación Pública del Estado de Sinaloa, la Universidad Autónoma de Sinaloa, Universidad Autónoma de Occidente y el Colegio de Bachilleres del Estado de Sinaloa.</w:t>
      </w:r>
    </w:p>
    <w:p w:rsidR="00710885" w:rsidRPr="006A68B8" w:rsidRDefault="00710885" w:rsidP="00710885">
      <w:pPr>
        <w:rPr>
          <w:rFonts w:cstheme="minorHAnsi"/>
          <w:szCs w:val="24"/>
        </w:rPr>
      </w:pPr>
      <w:r>
        <w:rPr>
          <w:rFonts w:cstheme="minorHAnsi"/>
          <w:szCs w:val="24"/>
        </w:rPr>
        <w:t xml:space="preserve">En materia de </w:t>
      </w:r>
      <w:r w:rsidRPr="006A68B8">
        <w:rPr>
          <w:rFonts w:cstheme="minorHAnsi"/>
          <w:i/>
          <w:iCs/>
          <w:szCs w:val="24"/>
        </w:rPr>
        <w:t>Protección Social</w:t>
      </w:r>
      <w:r w:rsidRPr="006A68B8">
        <w:rPr>
          <w:rFonts w:cstheme="minorHAnsi"/>
          <w:szCs w:val="24"/>
        </w:rPr>
        <w:t>,</w:t>
      </w:r>
      <w:r>
        <w:rPr>
          <w:rFonts w:cstheme="minorHAnsi"/>
          <w:szCs w:val="24"/>
        </w:rPr>
        <w:t xml:space="preserve"> al concluir el mes de septiembre se devengaron 2</w:t>
      </w:r>
      <w:r w:rsidRPr="006A68B8">
        <w:rPr>
          <w:rFonts w:cstheme="minorHAnsi"/>
          <w:szCs w:val="24"/>
        </w:rPr>
        <w:t xml:space="preserve"> mil 8</w:t>
      </w:r>
      <w:r>
        <w:rPr>
          <w:rFonts w:cstheme="minorHAnsi"/>
          <w:szCs w:val="24"/>
        </w:rPr>
        <w:t>02</w:t>
      </w:r>
      <w:r w:rsidRPr="006A68B8">
        <w:rPr>
          <w:rFonts w:cstheme="minorHAnsi"/>
          <w:szCs w:val="24"/>
        </w:rPr>
        <w:t xml:space="preserve"> millones de pesos, ejercidos por el Instituto de Seguridad y Servicios Sociales de los Trabajadores de la Educación del Estado de Sinaloa, en atención al sistema de pensiones de los trabajadores de la educación; además de los recursos a cargo de la entidad Desarrollo Integral de la Familia, orientados a la asistencia social y brindar apoyo a personas con discapacidad.</w:t>
      </w:r>
    </w:p>
    <w:p w:rsidR="00710885" w:rsidRPr="006A68B8" w:rsidRDefault="00710885" w:rsidP="00710885">
      <w:pPr>
        <w:rPr>
          <w:rFonts w:cstheme="minorHAnsi"/>
          <w:szCs w:val="24"/>
        </w:rPr>
      </w:pPr>
      <w:r>
        <w:rPr>
          <w:rFonts w:cstheme="minorHAnsi"/>
          <w:iCs/>
          <w:szCs w:val="24"/>
        </w:rPr>
        <w:t>En la f</w:t>
      </w:r>
      <w:r w:rsidRPr="008428C7">
        <w:rPr>
          <w:rFonts w:cstheme="minorHAnsi"/>
          <w:iCs/>
          <w:szCs w:val="24"/>
        </w:rPr>
        <w:t xml:space="preserve">unción </w:t>
      </w:r>
      <w:r w:rsidRPr="006A68B8">
        <w:rPr>
          <w:rFonts w:cstheme="minorHAnsi"/>
          <w:i/>
          <w:iCs/>
          <w:szCs w:val="24"/>
        </w:rPr>
        <w:t>Otros Asuntos Sociales</w:t>
      </w:r>
      <w:r>
        <w:rPr>
          <w:rFonts w:cstheme="minorHAnsi"/>
          <w:szCs w:val="24"/>
        </w:rPr>
        <w:t xml:space="preserve"> f</w:t>
      </w:r>
      <w:r w:rsidRPr="006A68B8">
        <w:rPr>
          <w:rFonts w:cstheme="minorHAnsi"/>
          <w:szCs w:val="24"/>
        </w:rPr>
        <w:t xml:space="preserve">ueron destinados </w:t>
      </w:r>
      <w:r>
        <w:rPr>
          <w:rFonts w:cstheme="minorHAnsi"/>
          <w:szCs w:val="24"/>
        </w:rPr>
        <w:t>9</w:t>
      </w:r>
      <w:r w:rsidRPr="006A68B8">
        <w:rPr>
          <w:rFonts w:cstheme="minorHAnsi"/>
          <w:szCs w:val="24"/>
        </w:rPr>
        <w:t xml:space="preserve"> millones </w:t>
      </w:r>
      <w:r w:rsidRPr="006A68B8">
        <w:rPr>
          <w:szCs w:val="24"/>
        </w:rPr>
        <w:t>de pesos</w:t>
      </w:r>
      <w:r w:rsidRPr="006A68B8">
        <w:rPr>
          <w:rFonts w:cstheme="minorHAnsi"/>
          <w:szCs w:val="24"/>
        </w:rPr>
        <w:t xml:space="preserve"> </w:t>
      </w:r>
      <w:r>
        <w:rPr>
          <w:rFonts w:cstheme="minorHAnsi"/>
          <w:szCs w:val="24"/>
        </w:rPr>
        <w:t xml:space="preserve">ejercidos en programas que promueven el emprendimiento y desarrollo laboral de la población joven, tales como </w:t>
      </w:r>
      <w:r w:rsidRPr="006A68B8">
        <w:rPr>
          <w:rFonts w:cstheme="minorHAnsi"/>
          <w:szCs w:val="24"/>
        </w:rPr>
        <w:t xml:space="preserve">Jóvenes Sinaloa y Fortalecimiento Joven </w:t>
      </w:r>
      <w:r>
        <w:rPr>
          <w:rFonts w:cstheme="minorHAnsi"/>
          <w:szCs w:val="24"/>
        </w:rPr>
        <w:t>operados por</w:t>
      </w:r>
      <w:r w:rsidRPr="006A68B8">
        <w:rPr>
          <w:rFonts w:cstheme="minorHAnsi"/>
          <w:szCs w:val="24"/>
        </w:rPr>
        <w:t xml:space="preserve"> el Instituto Sinaloense de la Juventud.</w:t>
      </w:r>
    </w:p>
    <w:p w:rsidR="00710885" w:rsidRPr="006A68B8" w:rsidRDefault="00710885" w:rsidP="00710885">
      <w:pPr>
        <w:rPr>
          <w:rFonts w:cstheme="minorHAnsi"/>
          <w:szCs w:val="24"/>
        </w:rPr>
      </w:pPr>
      <w:r w:rsidRPr="006A68B8">
        <w:rPr>
          <w:rFonts w:cstheme="minorHAnsi"/>
          <w:szCs w:val="24"/>
        </w:rPr>
        <w:t xml:space="preserve">Por su parte, la Finalidad de Desarrollo Económico </w:t>
      </w:r>
      <w:r>
        <w:rPr>
          <w:rFonts w:cstheme="minorHAnsi"/>
          <w:szCs w:val="24"/>
        </w:rPr>
        <w:t>presenta un devengado de</w:t>
      </w:r>
      <w:r w:rsidRPr="006A68B8">
        <w:rPr>
          <w:rFonts w:cstheme="minorHAnsi"/>
          <w:szCs w:val="24"/>
        </w:rPr>
        <w:t xml:space="preserve"> </w:t>
      </w:r>
      <w:r>
        <w:rPr>
          <w:rFonts w:cstheme="minorHAnsi"/>
          <w:szCs w:val="24"/>
        </w:rPr>
        <w:t>2</w:t>
      </w:r>
      <w:r w:rsidRPr="006A68B8">
        <w:rPr>
          <w:rFonts w:cstheme="minorHAnsi"/>
          <w:szCs w:val="24"/>
        </w:rPr>
        <w:t xml:space="preserve"> mil </w:t>
      </w:r>
      <w:r>
        <w:rPr>
          <w:rFonts w:cstheme="minorHAnsi"/>
          <w:szCs w:val="24"/>
        </w:rPr>
        <w:t>301</w:t>
      </w:r>
      <w:r w:rsidRPr="006A68B8">
        <w:rPr>
          <w:rFonts w:cstheme="minorHAnsi"/>
          <w:szCs w:val="24"/>
        </w:rPr>
        <w:t xml:space="preserve"> millones de pesos, correspondientes principalmente a las funciones de </w:t>
      </w:r>
      <w:r w:rsidRPr="006A68B8">
        <w:rPr>
          <w:rFonts w:cstheme="minorHAnsi"/>
          <w:i/>
          <w:iCs/>
          <w:szCs w:val="24"/>
        </w:rPr>
        <w:t>Asuntos Económicos, Comerciales y Laborales en General; Ciencia, Tecnología e Innovación; y Transporte; además de Agropecuaria, Silvicultura, Pesca y Caza</w:t>
      </w:r>
      <w:r w:rsidRPr="006A68B8">
        <w:rPr>
          <w:rFonts w:cstheme="minorHAnsi"/>
          <w:szCs w:val="24"/>
        </w:rPr>
        <w:t>.</w:t>
      </w:r>
    </w:p>
    <w:p w:rsidR="00710885" w:rsidRPr="006A68B8" w:rsidRDefault="00710885" w:rsidP="00710885">
      <w:pPr>
        <w:rPr>
          <w:rFonts w:cstheme="minorHAnsi"/>
          <w:szCs w:val="24"/>
        </w:rPr>
      </w:pPr>
      <w:r w:rsidRPr="00A4258D">
        <w:rPr>
          <w:rFonts w:cstheme="minorHAnsi"/>
          <w:szCs w:val="24"/>
        </w:rPr>
        <w:t xml:space="preserve">El detalle del gasto total devengado en la función de </w:t>
      </w:r>
      <w:r w:rsidRPr="00A4258D">
        <w:rPr>
          <w:rFonts w:cstheme="minorHAnsi"/>
          <w:i/>
          <w:iCs/>
          <w:szCs w:val="24"/>
        </w:rPr>
        <w:t>Asuntos Económicos, Comerciales y Laborales en General</w:t>
      </w:r>
      <w:r w:rsidRPr="00A4258D">
        <w:rPr>
          <w:rFonts w:cstheme="minorHAnsi"/>
          <w:szCs w:val="24"/>
        </w:rPr>
        <w:t xml:space="preserve"> ascendió a 725 millones de pesos, entre las actividades y programas desarrollados destacan: apoyos para Micro, Pequeña y Mediana Empresa (impulso del proyecto mujer productiva; la implementación de estrategias productivas y de promoción de atracción de inversiones en el estado); así como la promoción del Sector Turístico a través del Consejo para el Desarrollo Económico de Sinaloa y la promoción de campañas por parte del Servicio Estatal del Empleo y el Instituto de Capacitación para el Trabajo del Estado de Sinaloa.</w:t>
      </w:r>
      <w:r w:rsidRPr="006A68B8">
        <w:rPr>
          <w:rFonts w:cstheme="minorHAnsi"/>
          <w:szCs w:val="24"/>
        </w:rPr>
        <w:t xml:space="preserve"> </w:t>
      </w:r>
    </w:p>
    <w:p w:rsidR="00710885" w:rsidRPr="006A68B8" w:rsidRDefault="00710885" w:rsidP="00710885">
      <w:pPr>
        <w:rPr>
          <w:rFonts w:cstheme="minorHAnsi"/>
          <w:szCs w:val="24"/>
        </w:rPr>
      </w:pPr>
      <w:r w:rsidRPr="006A68B8">
        <w:rPr>
          <w:rFonts w:cstheme="minorHAnsi"/>
          <w:szCs w:val="24"/>
        </w:rPr>
        <w:lastRenderedPageBreak/>
        <w:t xml:space="preserve">La </w:t>
      </w:r>
      <w:r>
        <w:rPr>
          <w:rFonts w:cstheme="minorHAnsi"/>
          <w:szCs w:val="24"/>
        </w:rPr>
        <w:t xml:space="preserve">integración de políticas agropecuarias que conforman la </w:t>
      </w:r>
      <w:r w:rsidRPr="006A68B8">
        <w:rPr>
          <w:rFonts w:cstheme="minorHAnsi"/>
          <w:szCs w:val="24"/>
        </w:rPr>
        <w:t xml:space="preserve">función </w:t>
      </w:r>
      <w:r w:rsidRPr="006A68B8">
        <w:rPr>
          <w:rFonts w:cstheme="minorHAnsi"/>
          <w:i/>
          <w:iCs/>
          <w:szCs w:val="24"/>
        </w:rPr>
        <w:t>Agropecuaria, Silvicultura, Pesca y Caza</w:t>
      </w:r>
      <w:r>
        <w:rPr>
          <w:rFonts w:cstheme="minorHAnsi"/>
          <w:szCs w:val="24"/>
        </w:rPr>
        <w:t>, devengaron 455</w:t>
      </w:r>
      <w:r w:rsidRPr="006A68B8">
        <w:rPr>
          <w:rFonts w:cstheme="minorHAnsi"/>
          <w:szCs w:val="24"/>
        </w:rPr>
        <w:t xml:space="preserve"> millones de pesos,</w:t>
      </w:r>
      <w:r>
        <w:rPr>
          <w:rFonts w:cstheme="minorHAnsi"/>
          <w:szCs w:val="24"/>
        </w:rPr>
        <w:t xml:space="preserve"> mostrando un gran dinamismo, pese a los ceses temporales de actividades y la baja económica generalizada. En su mayoría, los recursos se orientaron </w:t>
      </w:r>
      <w:r w:rsidRPr="006A68B8">
        <w:rPr>
          <w:rFonts w:cstheme="minorHAnsi"/>
          <w:szCs w:val="24"/>
        </w:rPr>
        <w:t xml:space="preserve">a la operación de programas de Sanidad e Inocuidad </w:t>
      </w:r>
      <w:r w:rsidRPr="00A4258D">
        <w:rPr>
          <w:rFonts w:cstheme="minorHAnsi"/>
          <w:szCs w:val="24"/>
        </w:rPr>
        <w:t>Agroalimentaria, así como programas de  Empleo Temporal a cargo de la Secretaría de Agricultura y Ganadería y la Secretaría de Pesca y Acuacultura.</w:t>
      </w:r>
    </w:p>
    <w:p w:rsidR="00710885" w:rsidRPr="006A68B8" w:rsidRDefault="00710885" w:rsidP="00710885">
      <w:pPr>
        <w:rPr>
          <w:rFonts w:cstheme="minorHAnsi"/>
          <w:szCs w:val="24"/>
        </w:rPr>
      </w:pPr>
      <w:r>
        <w:rPr>
          <w:rFonts w:cstheme="minorHAnsi"/>
          <w:szCs w:val="24"/>
        </w:rPr>
        <w:t>Así mismo, l</w:t>
      </w:r>
      <w:r w:rsidRPr="006A68B8">
        <w:rPr>
          <w:rFonts w:cstheme="minorHAnsi"/>
          <w:szCs w:val="24"/>
        </w:rPr>
        <w:t xml:space="preserve">as obras de </w:t>
      </w:r>
      <w:r>
        <w:rPr>
          <w:rFonts w:cstheme="minorHAnsi"/>
          <w:szCs w:val="24"/>
        </w:rPr>
        <w:t xml:space="preserve">mantenimiento, conservación y </w:t>
      </w:r>
      <w:r w:rsidRPr="006A68B8">
        <w:rPr>
          <w:rFonts w:cstheme="minorHAnsi"/>
          <w:szCs w:val="24"/>
        </w:rPr>
        <w:t xml:space="preserve">rehabilitación </w:t>
      </w:r>
      <w:r>
        <w:rPr>
          <w:rFonts w:cstheme="minorHAnsi"/>
          <w:szCs w:val="24"/>
        </w:rPr>
        <w:t>de la red de carretera estatal que</w:t>
      </w:r>
      <w:r w:rsidRPr="006A68B8">
        <w:rPr>
          <w:rFonts w:cstheme="minorHAnsi"/>
          <w:szCs w:val="24"/>
        </w:rPr>
        <w:t xml:space="preserve"> corresponden a la función de </w:t>
      </w:r>
      <w:r w:rsidRPr="006A68B8">
        <w:rPr>
          <w:rFonts w:cstheme="minorHAnsi"/>
          <w:i/>
          <w:iCs/>
          <w:szCs w:val="24"/>
        </w:rPr>
        <w:t>Transporte</w:t>
      </w:r>
      <w:r w:rsidRPr="006A68B8">
        <w:rPr>
          <w:rFonts w:cstheme="minorHAnsi"/>
          <w:szCs w:val="24"/>
        </w:rPr>
        <w:t xml:space="preserve">, </w:t>
      </w:r>
      <w:r>
        <w:rPr>
          <w:rFonts w:cstheme="minorHAnsi"/>
          <w:szCs w:val="24"/>
        </w:rPr>
        <w:t>se ejercieron al concluir el mes de septiembre un total de 464</w:t>
      </w:r>
      <w:r w:rsidRPr="006A68B8">
        <w:rPr>
          <w:rFonts w:cstheme="minorHAnsi"/>
          <w:szCs w:val="24"/>
        </w:rPr>
        <w:t xml:space="preserve"> millones de pesos. </w:t>
      </w:r>
    </w:p>
    <w:p w:rsidR="00710885" w:rsidRPr="006A68B8" w:rsidRDefault="00710885" w:rsidP="00710885">
      <w:pPr>
        <w:rPr>
          <w:rFonts w:cstheme="minorHAnsi"/>
          <w:szCs w:val="24"/>
        </w:rPr>
      </w:pPr>
      <w:r w:rsidRPr="005C5D81">
        <w:rPr>
          <w:rFonts w:cstheme="minorHAnsi"/>
          <w:szCs w:val="24"/>
        </w:rPr>
        <w:t xml:space="preserve">Los esfuerzos en generar una industria limpia se ven materializados en la función Turismo, </w:t>
      </w:r>
      <w:r>
        <w:rPr>
          <w:rFonts w:cstheme="minorHAnsi"/>
          <w:szCs w:val="24"/>
        </w:rPr>
        <w:t>con un ejercicio de</w:t>
      </w:r>
      <w:r w:rsidRPr="005C5D81">
        <w:rPr>
          <w:rFonts w:cstheme="minorHAnsi"/>
          <w:szCs w:val="24"/>
        </w:rPr>
        <w:t xml:space="preserve"> 69 millones de pesos, </w:t>
      </w:r>
      <w:r>
        <w:rPr>
          <w:rFonts w:cstheme="minorHAnsi"/>
          <w:szCs w:val="24"/>
        </w:rPr>
        <w:t xml:space="preserve">a través de los cuales se </w:t>
      </w:r>
      <w:r w:rsidRPr="005C5D81">
        <w:rPr>
          <w:rFonts w:cstheme="minorHAnsi"/>
          <w:szCs w:val="24"/>
        </w:rPr>
        <w:t>impuls</w:t>
      </w:r>
      <w:r>
        <w:rPr>
          <w:rFonts w:cstheme="minorHAnsi"/>
          <w:szCs w:val="24"/>
        </w:rPr>
        <w:t xml:space="preserve">ó el fomento al desarrollo, así como </w:t>
      </w:r>
      <w:r w:rsidRPr="005C5D81">
        <w:rPr>
          <w:rFonts w:cstheme="minorHAnsi"/>
          <w:szCs w:val="24"/>
        </w:rPr>
        <w:t>promoción</w:t>
      </w:r>
      <w:r>
        <w:rPr>
          <w:rFonts w:cstheme="minorHAnsi"/>
          <w:szCs w:val="24"/>
        </w:rPr>
        <w:t xml:space="preserve"> la promoción</w:t>
      </w:r>
      <w:r w:rsidRPr="005C5D81">
        <w:rPr>
          <w:rFonts w:cstheme="minorHAnsi"/>
          <w:szCs w:val="24"/>
        </w:rPr>
        <w:t xml:space="preserve"> turística </w:t>
      </w:r>
      <w:r>
        <w:rPr>
          <w:rFonts w:cstheme="minorHAnsi"/>
          <w:szCs w:val="24"/>
        </w:rPr>
        <w:t xml:space="preserve">que promueve los desplazamientos y </w:t>
      </w:r>
      <w:r w:rsidRPr="005C5D81">
        <w:rPr>
          <w:rFonts w:cstheme="minorHAnsi"/>
          <w:szCs w:val="24"/>
        </w:rPr>
        <w:t>consum</w:t>
      </w:r>
      <w:r>
        <w:rPr>
          <w:rFonts w:cstheme="minorHAnsi"/>
          <w:szCs w:val="24"/>
        </w:rPr>
        <w:t xml:space="preserve">o </w:t>
      </w:r>
      <w:r w:rsidRPr="005C5D81">
        <w:rPr>
          <w:rFonts w:cstheme="minorHAnsi"/>
          <w:szCs w:val="24"/>
        </w:rPr>
        <w:t xml:space="preserve">local. </w:t>
      </w:r>
    </w:p>
    <w:p w:rsidR="00710885" w:rsidRPr="006A68B8" w:rsidRDefault="00710885" w:rsidP="00710885">
      <w:pPr>
        <w:rPr>
          <w:rFonts w:cstheme="minorHAnsi"/>
          <w:szCs w:val="24"/>
        </w:rPr>
      </w:pPr>
      <w:r>
        <w:rPr>
          <w:rFonts w:cstheme="minorHAnsi"/>
          <w:szCs w:val="24"/>
        </w:rPr>
        <w:t xml:space="preserve">Por su parte, </w:t>
      </w:r>
      <w:r w:rsidRPr="006A68B8">
        <w:rPr>
          <w:rFonts w:cstheme="minorHAnsi"/>
          <w:szCs w:val="24"/>
        </w:rPr>
        <w:t xml:space="preserve">la función </w:t>
      </w:r>
      <w:r w:rsidRPr="006A68B8">
        <w:rPr>
          <w:rFonts w:cstheme="minorHAnsi"/>
          <w:i/>
          <w:iCs/>
          <w:szCs w:val="24"/>
        </w:rPr>
        <w:t>Ciencia, Tecnología e Innovación</w:t>
      </w:r>
      <w:r w:rsidRPr="006A68B8">
        <w:rPr>
          <w:rFonts w:cstheme="minorHAnsi"/>
          <w:szCs w:val="24"/>
        </w:rPr>
        <w:t xml:space="preserve"> </w:t>
      </w:r>
      <w:r>
        <w:rPr>
          <w:rFonts w:cstheme="minorHAnsi"/>
          <w:szCs w:val="24"/>
        </w:rPr>
        <w:t xml:space="preserve">presentó un devengado de 588 </w:t>
      </w:r>
      <w:r w:rsidRPr="006A68B8">
        <w:rPr>
          <w:rFonts w:cstheme="minorHAnsi"/>
          <w:szCs w:val="24"/>
        </w:rPr>
        <w:t>millones de pesos, a cargo de la Secretaría de Innovación</w:t>
      </w:r>
      <w:r>
        <w:rPr>
          <w:rFonts w:cstheme="minorHAnsi"/>
          <w:szCs w:val="24"/>
        </w:rPr>
        <w:t xml:space="preserve"> y el Instituto de Apoyo a la Investigación e Innovación, con la implementación de diversos proyectos de </w:t>
      </w:r>
      <w:r w:rsidRPr="006A68B8">
        <w:rPr>
          <w:rFonts w:cstheme="minorHAnsi"/>
          <w:szCs w:val="24"/>
        </w:rPr>
        <w:t>agilización de servicios digitales</w:t>
      </w:r>
      <w:r>
        <w:rPr>
          <w:rFonts w:cstheme="minorHAnsi"/>
          <w:szCs w:val="24"/>
        </w:rPr>
        <w:t xml:space="preserve">, </w:t>
      </w:r>
      <w:r w:rsidRPr="006A68B8">
        <w:rPr>
          <w:rFonts w:cstheme="minorHAnsi"/>
          <w:szCs w:val="24"/>
        </w:rPr>
        <w:t>Centros Comunitarios Digitales y la Plataforma Estrategia Digital</w:t>
      </w:r>
      <w:r>
        <w:rPr>
          <w:rFonts w:cstheme="minorHAnsi"/>
          <w:szCs w:val="24"/>
        </w:rPr>
        <w:t xml:space="preserve"> para el </w:t>
      </w:r>
      <w:r w:rsidRPr="006A68B8">
        <w:rPr>
          <w:rFonts w:cstheme="minorHAnsi"/>
          <w:szCs w:val="24"/>
        </w:rPr>
        <w:t>fortalecimiento</w:t>
      </w:r>
      <w:r>
        <w:rPr>
          <w:rFonts w:cstheme="minorHAnsi"/>
          <w:szCs w:val="24"/>
        </w:rPr>
        <w:t xml:space="preserve"> de</w:t>
      </w:r>
      <w:r w:rsidRPr="005C5D81">
        <w:rPr>
          <w:rFonts w:cstheme="minorHAnsi"/>
          <w:szCs w:val="24"/>
        </w:rPr>
        <w:t xml:space="preserve"> las capacidades educativas y científicas de la población</w:t>
      </w:r>
      <w:r>
        <w:rPr>
          <w:rFonts w:cstheme="minorHAnsi"/>
          <w:szCs w:val="24"/>
        </w:rPr>
        <w:t>.</w:t>
      </w:r>
    </w:p>
    <w:p w:rsidR="00710885" w:rsidRPr="006A68B8" w:rsidRDefault="00710885" w:rsidP="00710885">
      <w:pPr>
        <w:rPr>
          <w:rFonts w:cstheme="minorHAnsi"/>
          <w:szCs w:val="24"/>
        </w:rPr>
      </w:pPr>
      <w:r>
        <w:rPr>
          <w:rFonts w:cstheme="minorHAnsi"/>
          <w:szCs w:val="24"/>
        </w:rPr>
        <w:t>En</w:t>
      </w:r>
      <w:r w:rsidRPr="006A68B8">
        <w:rPr>
          <w:rFonts w:cstheme="minorHAnsi"/>
          <w:szCs w:val="24"/>
        </w:rPr>
        <w:t xml:space="preserve"> la finalidad denominada Otras no Clasificadas se e</w:t>
      </w:r>
      <w:r>
        <w:rPr>
          <w:rFonts w:cstheme="minorHAnsi"/>
          <w:szCs w:val="24"/>
        </w:rPr>
        <w:t>rogaron 7</w:t>
      </w:r>
      <w:r w:rsidRPr="006A68B8">
        <w:rPr>
          <w:rFonts w:cstheme="minorHAnsi"/>
          <w:szCs w:val="24"/>
        </w:rPr>
        <w:t xml:space="preserve"> mil </w:t>
      </w:r>
      <w:r>
        <w:rPr>
          <w:rFonts w:cstheme="minorHAnsi"/>
          <w:szCs w:val="24"/>
        </w:rPr>
        <w:t>230</w:t>
      </w:r>
      <w:r w:rsidRPr="006A68B8">
        <w:rPr>
          <w:rFonts w:cstheme="minorHAnsi"/>
          <w:szCs w:val="24"/>
        </w:rPr>
        <w:t xml:space="preserve"> millones de pesos</w:t>
      </w:r>
      <w:r>
        <w:rPr>
          <w:rFonts w:cstheme="minorHAnsi"/>
          <w:szCs w:val="24"/>
        </w:rPr>
        <w:t>, de los cuales 401</w:t>
      </w:r>
      <w:r w:rsidRPr="006A68B8">
        <w:rPr>
          <w:rFonts w:cstheme="minorHAnsi"/>
          <w:szCs w:val="24"/>
        </w:rPr>
        <w:t xml:space="preserve"> millones </w:t>
      </w:r>
      <w:r w:rsidRPr="006A68B8">
        <w:rPr>
          <w:szCs w:val="24"/>
        </w:rPr>
        <w:t>de pesos</w:t>
      </w:r>
      <w:r w:rsidRPr="006A68B8">
        <w:rPr>
          <w:rFonts w:cstheme="minorHAnsi"/>
          <w:szCs w:val="24"/>
        </w:rPr>
        <w:t xml:space="preserve"> corresponden la función de </w:t>
      </w:r>
      <w:r w:rsidRPr="006A68B8">
        <w:rPr>
          <w:rFonts w:cstheme="minorHAnsi"/>
          <w:i/>
          <w:iCs/>
          <w:szCs w:val="24"/>
        </w:rPr>
        <w:t>Transacciones de la Deuda Pública / Costo Financiero de la Deuda</w:t>
      </w:r>
      <w:r>
        <w:rPr>
          <w:rFonts w:cstheme="minorHAnsi"/>
          <w:szCs w:val="24"/>
        </w:rPr>
        <w:t xml:space="preserve"> </w:t>
      </w:r>
      <w:r w:rsidRPr="006A68B8">
        <w:rPr>
          <w:rFonts w:cstheme="minorHAnsi"/>
          <w:szCs w:val="24"/>
        </w:rPr>
        <w:t>p</w:t>
      </w:r>
      <w:r>
        <w:rPr>
          <w:rFonts w:cstheme="minorHAnsi"/>
          <w:szCs w:val="24"/>
        </w:rPr>
        <w:t>or</w:t>
      </w:r>
      <w:r w:rsidRPr="006A68B8">
        <w:rPr>
          <w:rFonts w:cstheme="minorHAnsi"/>
          <w:szCs w:val="24"/>
        </w:rPr>
        <w:t xml:space="preserve"> el pago de Intereses y gastos asociados a la amortización.</w:t>
      </w:r>
    </w:p>
    <w:p w:rsidR="00710885" w:rsidRPr="006A68B8" w:rsidRDefault="00710885" w:rsidP="00710885">
      <w:pPr>
        <w:rPr>
          <w:rFonts w:cstheme="minorHAnsi"/>
          <w:szCs w:val="24"/>
        </w:rPr>
      </w:pPr>
      <w:r>
        <w:rPr>
          <w:rFonts w:cstheme="minorHAnsi"/>
          <w:szCs w:val="24"/>
        </w:rPr>
        <w:t>Para concluir</w:t>
      </w:r>
      <w:r w:rsidRPr="006A68B8">
        <w:rPr>
          <w:rFonts w:cstheme="minorHAnsi"/>
          <w:szCs w:val="24"/>
        </w:rPr>
        <w:t xml:space="preserve">, </w:t>
      </w:r>
      <w:r w:rsidRPr="006A68B8">
        <w:rPr>
          <w:rFonts w:cstheme="minorHAnsi"/>
          <w:i/>
          <w:iCs/>
          <w:szCs w:val="24"/>
        </w:rPr>
        <w:t>Transferencias, Participaciones y Aportaciones entre Diferentes Niveles y Órdenes de Gobierno</w:t>
      </w:r>
      <w:r>
        <w:rPr>
          <w:rFonts w:cstheme="minorHAnsi"/>
          <w:szCs w:val="24"/>
        </w:rPr>
        <w:t xml:space="preserve">, que se refiere a </w:t>
      </w:r>
      <w:r w:rsidRPr="006A68B8">
        <w:rPr>
          <w:rFonts w:cstheme="minorHAnsi"/>
          <w:szCs w:val="24"/>
        </w:rPr>
        <w:t>las transferencias de recursos destinadas a los municipios del estado</w:t>
      </w:r>
      <w:r>
        <w:rPr>
          <w:rFonts w:cstheme="minorHAnsi"/>
          <w:szCs w:val="24"/>
        </w:rPr>
        <w:t xml:space="preserve"> para </w:t>
      </w:r>
      <w:r w:rsidRPr="006A68B8">
        <w:rPr>
          <w:rFonts w:cstheme="minorHAnsi"/>
          <w:szCs w:val="24"/>
        </w:rPr>
        <w:t xml:space="preserve">atender las necesidades de la ciudadanía </w:t>
      </w:r>
      <w:r>
        <w:rPr>
          <w:rFonts w:cstheme="minorHAnsi"/>
          <w:szCs w:val="24"/>
        </w:rPr>
        <w:t>presentaron al final del tercer trimestre de 2020, un gasto por 6</w:t>
      </w:r>
      <w:r w:rsidRPr="006A68B8">
        <w:rPr>
          <w:rFonts w:cstheme="minorHAnsi"/>
          <w:szCs w:val="24"/>
        </w:rPr>
        <w:t xml:space="preserve"> mil </w:t>
      </w:r>
      <w:r>
        <w:rPr>
          <w:rFonts w:cstheme="minorHAnsi"/>
          <w:szCs w:val="24"/>
        </w:rPr>
        <w:t>829</w:t>
      </w:r>
      <w:r w:rsidRPr="006A68B8">
        <w:rPr>
          <w:rFonts w:cstheme="minorHAnsi"/>
          <w:szCs w:val="24"/>
        </w:rPr>
        <w:t xml:space="preserve"> millones de pesos</w:t>
      </w:r>
      <w:r>
        <w:rPr>
          <w:rFonts w:cstheme="minorHAnsi"/>
          <w:szCs w:val="24"/>
        </w:rPr>
        <w:t>.</w:t>
      </w:r>
      <w:r w:rsidRPr="006A68B8">
        <w:rPr>
          <w:rFonts w:cstheme="minorHAnsi"/>
          <w:szCs w:val="24"/>
        </w:rPr>
        <w:t xml:space="preserve"> </w:t>
      </w:r>
      <w:bookmarkEnd w:id="73"/>
    </w:p>
    <w:p w:rsidR="001924C1" w:rsidRDefault="001924C1">
      <w:pPr>
        <w:spacing w:after="0" w:line="240" w:lineRule="auto"/>
        <w:jc w:val="left"/>
        <w:rPr>
          <w:rFonts w:asciiTheme="minorHAnsi" w:hAnsiTheme="minorHAnsi" w:cstheme="minorHAnsi"/>
          <w:b/>
        </w:rPr>
      </w:pPr>
      <w:r>
        <w:rPr>
          <w:rFonts w:asciiTheme="minorHAnsi" w:hAnsiTheme="minorHAnsi" w:cstheme="minorHAnsi"/>
          <w:b/>
        </w:rPr>
        <w:br w:type="page"/>
      </w:r>
    </w:p>
    <w:p w:rsidR="000F44B2" w:rsidRPr="00112CED" w:rsidRDefault="000F44B2" w:rsidP="00112CED">
      <w:pPr>
        <w:pStyle w:val="Ttulo1"/>
        <w:rPr>
          <w:rFonts w:asciiTheme="minorHAnsi" w:hAnsiTheme="minorHAnsi" w:cstheme="minorHAnsi"/>
        </w:rPr>
      </w:pPr>
      <w:bookmarkStart w:id="74" w:name="_Toc55491777"/>
      <w:r w:rsidRPr="00112CED">
        <w:rPr>
          <w:rFonts w:asciiTheme="minorHAnsi" w:hAnsiTheme="minorHAnsi" w:cstheme="minorHAnsi"/>
        </w:rPr>
        <w:lastRenderedPageBreak/>
        <w:t>III. DEUDA PÚBLICA</w:t>
      </w:r>
      <w:bookmarkEnd w:id="72"/>
      <w:bookmarkEnd w:id="74"/>
    </w:p>
    <w:p w:rsidR="000F44B2" w:rsidRPr="005F18CC" w:rsidRDefault="000F44B2" w:rsidP="000F44B2">
      <w:pPr>
        <w:pStyle w:val="Ttulo2"/>
        <w:rPr>
          <w:rFonts w:asciiTheme="minorHAnsi" w:hAnsiTheme="minorHAnsi" w:cstheme="minorHAnsi"/>
        </w:rPr>
      </w:pPr>
      <w:bookmarkStart w:id="75" w:name="_Toc521935718"/>
      <w:bookmarkStart w:id="76" w:name="_Toc55491778"/>
      <w:r w:rsidRPr="005F18CC">
        <w:rPr>
          <w:rFonts w:asciiTheme="minorHAnsi" w:hAnsiTheme="minorHAnsi" w:cstheme="minorHAnsi"/>
        </w:rPr>
        <w:t>3. DEUDA PÚBLICA ESTATAL</w:t>
      </w:r>
      <w:bookmarkEnd w:id="75"/>
      <w:bookmarkEnd w:id="76"/>
    </w:p>
    <w:p w:rsidR="00243AA2" w:rsidRDefault="00243AA2" w:rsidP="000F44B2">
      <w:pPr>
        <w:rPr>
          <w:rFonts w:asciiTheme="minorHAnsi" w:hAnsiTheme="minorHAnsi" w:cstheme="minorHAnsi"/>
          <w:b/>
          <w:szCs w:val="24"/>
        </w:rPr>
      </w:pPr>
    </w:p>
    <w:p w:rsidR="000F44B2" w:rsidRPr="00243AA2" w:rsidRDefault="00243AA2" w:rsidP="00243AA2">
      <w:pPr>
        <w:pStyle w:val="Ttulo3"/>
        <w:spacing w:after="240"/>
        <w:rPr>
          <w:rFonts w:asciiTheme="minorHAnsi" w:hAnsiTheme="minorHAnsi" w:cstheme="minorHAnsi"/>
        </w:rPr>
      </w:pPr>
      <w:bookmarkStart w:id="77" w:name="_Toc55491779"/>
      <w:r w:rsidRPr="00243AA2">
        <w:rPr>
          <w:rFonts w:asciiTheme="minorHAnsi" w:hAnsiTheme="minorHAnsi" w:cstheme="minorHAnsi"/>
        </w:rPr>
        <w:t>3.1. Saldo de la Deuda Directa</w:t>
      </w:r>
      <w:bookmarkEnd w:id="77"/>
    </w:p>
    <w:p w:rsidR="007E5E19" w:rsidRDefault="007E5E19" w:rsidP="007E5E19">
      <w:pPr>
        <w:spacing w:after="0"/>
        <w:rPr>
          <w:szCs w:val="24"/>
        </w:rPr>
      </w:pPr>
      <w:r>
        <w:rPr>
          <w:szCs w:val="24"/>
        </w:rPr>
        <w:t>Al 30 de septiembre del 2020 la deuda pública de largo plazo del Estado presentó un saldo de</w:t>
      </w:r>
      <w:r w:rsidR="00AB7F61">
        <w:rPr>
          <w:szCs w:val="24"/>
        </w:rPr>
        <w:t xml:space="preserve"> </w:t>
      </w:r>
      <w:r w:rsidRPr="00297D45">
        <w:rPr>
          <w:szCs w:val="24"/>
        </w:rPr>
        <w:t xml:space="preserve">6,738.25 </w:t>
      </w:r>
      <w:r w:rsidR="00AB7F61" w:rsidRPr="00297D45">
        <w:rPr>
          <w:szCs w:val="24"/>
        </w:rPr>
        <w:t>millones de</w:t>
      </w:r>
      <w:r w:rsidRPr="00297D45">
        <w:rPr>
          <w:szCs w:val="24"/>
        </w:rPr>
        <w:t xml:space="preserve"> pesos que, comparado con el mismo día del año inmediato anterior, representó una disminución en términos </w:t>
      </w:r>
      <w:r w:rsidR="00AB7F61">
        <w:rPr>
          <w:szCs w:val="24"/>
        </w:rPr>
        <w:t xml:space="preserve"> </w:t>
      </w:r>
      <w:r w:rsidRPr="00297D45">
        <w:rPr>
          <w:szCs w:val="24"/>
        </w:rPr>
        <w:t>reales de8.51%;</w:t>
      </w:r>
      <w:r w:rsidR="00AB7F61">
        <w:rPr>
          <w:szCs w:val="24"/>
        </w:rPr>
        <w:t xml:space="preserve"> </w:t>
      </w:r>
      <w:r w:rsidRPr="00297D45">
        <w:rPr>
          <w:szCs w:val="24"/>
        </w:rPr>
        <w:t xml:space="preserve">la cual se </w:t>
      </w:r>
      <w:r w:rsidR="00AB7F61" w:rsidRPr="00297D45">
        <w:rPr>
          <w:szCs w:val="24"/>
        </w:rPr>
        <w:t>integra en</w:t>
      </w:r>
      <w:r w:rsidRPr="00297D45">
        <w:rPr>
          <w:szCs w:val="24"/>
        </w:rPr>
        <w:t xml:space="preserve"> deuda directa, </w:t>
      </w:r>
      <w:r w:rsidRPr="00FA7F47">
        <w:rPr>
          <w:szCs w:val="24"/>
        </w:rPr>
        <w:t>deuda contingente y deuda no contingente.</w:t>
      </w:r>
    </w:p>
    <w:p w:rsidR="007E5E19" w:rsidRPr="001E2B17" w:rsidRDefault="007E5E19" w:rsidP="007E5E19">
      <w:pPr>
        <w:spacing w:after="0"/>
        <w:jc w:val="center"/>
        <w:rPr>
          <w:b/>
          <w:sz w:val="16"/>
          <w:szCs w:val="16"/>
        </w:rPr>
      </w:pPr>
    </w:p>
    <w:tbl>
      <w:tblPr>
        <w:tblW w:w="5000" w:type="pct"/>
        <w:jc w:val="center"/>
        <w:tblCellMar>
          <w:left w:w="70" w:type="dxa"/>
          <w:right w:w="70" w:type="dxa"/>
        </w:tblCellMar>
        <w:tblLook w:val="04A0" w:firstRow="1" w:lastRow="0" w:firstColumn="1" w:lastColumn="0" w:noHBand="0" w:noVBand="1"/>
      </w:tblPr>
      <w:tblGrid>
        <w:gridCol w:w="4291"/>
        <w:gridCol w:w="1123"/>
        <w:gridCol w:w="1124"/>
        <w:gridCol w:w="1275"/>
        <w:gridCol w:w="976"/>
      </w:tblGrid>
      <w:tr w:rsidR="007E5E19" w:rsidRPr="007E5E19" w:rsidTr="007E5E19">
        <w:trPr>
          <w:trHeight w:val="315"/>
          <w:jc w:val="center"/>
        </w:trPr>
        <w:tc>
          <w:tcPr>
            <w:tcW w:w="5000" w:type="pct"/>
            <w:gridSpan w:val="5"/>
            <w:tcBorders>
              <w:top w:val="nil"/>
              <w:left w:val="nil"/>
              <w:bottom w:val="single" w:sz="4" w:space="0" w:color="auto"/>
              <w:right w:val="nil"/>
            </w:tcBorders>
            <w:shd w:val="clear" w:color="auto" w:fill="auto"/>
            <w:noWrap/>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DEUDA PÚBLICA ESTATAL REGISTRADA ANTE LA S.H.C.P.</w:t>
            </w:r>
          </w:p>
          <w:p w:rsidR="007E5E19" w:rsidRPr="007E5E19" w:rsidRDefault="007E5E19" w:rsidP="002B2D8D">
            <w:pPr>
              <w:spacing w:after="80" w:line="240" w:lineRule="auto"/>
              <w:jc w:val="center"/>
              <w:rPr>
                <w:rFonts w:eastAsia="Times New Roman" w:cs="Calibri"/>
                <w:b/>
                <w:bCs/>
                <w:color w:val="000000"/>
                <w:sz w:val="20"/>
                <w:szCs w:val="20"/>
              </w:rPr>
            </w:pPr>
            <w:r w:rsidRPr="007E5E19">
              <w:rPr>
                <w:rFonts w:eastAsia="Times New Roman" w:cs="Calibri"/>
                <w:b/>
                <w:bCs/>
                <w:color w:val="000000"/>
                <w:sz w:val="20"/>
                <w:szCs w:val="20"/>
              </w:rPr>
              <w:t>(MILLONES DE PESOS)</w:t>
            </w:r>
          </w:p>
        </w:tc>
      </w:tr>
      <w:tr w:rsidR="007E5E19" w:rsidRPr="007E5E19" w:rsidTr="007E5E19">
        <w:trPr>
          <w:trHeight w:val="450"/>
          <w:jc w:val="center"/>
        </w:trPr>
        <w:tc>
          <w:tcPr>
            <w:tcW w:w="2442"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CONCEPTO</w:t>
            </w:r>
          </w:p>
        </w:tc>
        <w:tc>
          <w:tcPr>
            <w:tcW w:w="1279"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ENERO-SEPTIEMBRE</w:t>
            </w:r>
          </w:p>
        </w:tc>
        <w:tc>
          <w:tcPr>
            <w:tcW w:w="1279"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VARIACIÓN</w:t>
            </w:r>
          </w:p>
        </w:tc>
      </w:tr>
      <w:tr w:rsidR="007E5E19" w:rsidRPr="007E5E19" w:rsidTr="007E5E19">
        <w:trPr>
          <w:trHeight w:val="450"/>
          <w:jc w:val="center"/>
        </w:trPr>
        <w:tc>
          <w:tcPr>
            <w:tcW w:w="2442" w:type="pct"/>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64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2019</w:t>
            </w:r>
          </w:p>
        </w:tc>
        <w:tc>
          <w:tcPr>
            <w:tcW w:w="64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 xml:space="preserve">2020 </w:t>
            </w:r>
            <w:r w:rsidRPr="007E5E19">
              <w:rPr>
                <w:rFonts w:eastAsia="Times New Roman" w:cs="Calibri"/>
                <w:b/>
                <w:bCs/>
                <w:color w:val="FFFFFF"/>
                <w:sz w:val="20"/>
                <w:szCs w:val="20"/>
                <w:vertAlign w:val="superscript"/>
              </w:rPr>
              <w:t>1/</w:t>
            </w:r>
          </w:p>
        </w:tc>
        <w:tc>
          <w:tcPr>
            <w:tcW w:w="7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ABSOLUTA</w:t>
            </w:r>
          </w:p>
        </w:tc>
        <w:tc>
          <w:tcPr>
            <w:tcW w:w="554"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REAL</w:t>
            </w:r>
          </w:p>
        </w:tc>
      </w:tr>
      <w:tr w:rsidR="007E5E19" w:rsidRPr="007E5E19" w:rsidTr="007E5E19">
        <w:trPr>
          <w:trHeight w:val="315"/>
          <w:jc w:val="center"/>
        </w:trPr>
        <w:tc>
          <w:tcPr>
            <w:tcW w:w="2442" w:type="pct"/>
            <w:tcBorders>
              <w:top w:val="single" w:sz="4" w:space="0" w:color="auto"/>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rPr>
                <w:rFonts w:eastAsia="Times New Roman" w:cs="Calibri"/>
                <w:b/>
                <w:bCs/>
                <w:sz w:val="20"/>
                <w:szCs w:val="20"/>
              </w:rPr>
            </w:pPr>
            <w:r w:rsidRPr="007E5E19">
              <w:rPr>
                <w:rFonts w:eastAsia="Times New Roman" w:cs="Calibri"/>
                <w:b/>
                <w:bCs/>
                <w:sz w:val="20"/>
                <w:szCs w:val="20"/>
              </w:rPr>
              <w:t>DIRECTA</w:t>
            </w:r>
          </w:p>
        </w:tc>
        <w:tc>
          <w:tcPr>
            <w:tcW w:w="640" w:type="pct"/>
            <w:tcBorders>
              <w:top w:val="single" w:sz="4" w:space="0" w:color="auto"/>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4,679.35</w:t>
            </w:r>
          </w:p>
        </w:tc>
        <w:tc>
          <w:tcPr>
            <w:tcW w:w="640" w:type="pct"/>
            <w:tcBorders>
              <w:top w:val="single" w:sz="4" w:space="0" w:color="auto"/>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4,481.09</w:t>
            </w:r>
          </w:p>
        </w:tc>
        <w:tc>
          <w:tcPr>
            <w:tcW w:w="726" w:type="pct"/>
            <w:tcBorders>
              <w:top w:val="single" w:sz="4" w:space="0" w:color="auto"/>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-198.26</w:t>
            </w:r>
          </w:p>
        </w:tc>
        <w:tc>
          <w:tcPr>
            <w:tcW w:w="554" w:type="pct"/>
            <w:tcBorders>
              <w:top w:val="single" w:sz="4" w:space="0" w:color="auto"/>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-7.93%</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BANCA COMERCIAL</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4,281.99</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4,099.29</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-182.70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-7.96%</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BANCA DE DESARROLLO</w:t>
            </w:r>
            <w:r w:rsidRPr="007E5E19">
              <w:rPr>
                <w:rFonts w:eastAsia="Times New Roman" w:cs="Calibri"/>
                <w:color w:val="000000"/>
                <w:sz w:val="20"/>
                <w:szCs w:val="20"/>
                <w:vertAlign w:val="superscript"/>
              </w:rPr>
              <w:t>2/</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397.36</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381.79</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-15.57</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-7.62%</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rPr>
                <w:rFonts w:eastAsia="Times New Roman" w:cs="Calibri"/>
                <w:b/>
                <w:bCs/>
                <w:sz w:val="20"/>
                <w:szCs w:val="20"/>
              </w:rPr>
            </w:pPr>
            <w:r w:rsidRPr="007E5E19">
              <w:rPr>
                <w:rFonts w:eastAsia="Times New Roman" w:cs="Calibri"/>
                <w:b/>
                <w:bCs/>
                <w:sz w:val="20"/>
                <w:szCs w:val="20"/>
              </w:rPr>
              <w:t xml:space="preserve">CONTINGENTE </w:t>
            </w:r>
            <w:r w:rsidRPr="007E5E19">
              <w:rPr>
                <w:rFonts w:eastAsia="Times New Roman" w:cs="Calibri"/>
                <w:sz w:val="20"/>
                <w:szCs w:val="20"/>
              </w:rPr>
              <w:t>(Aval el Estado)</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796.07</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796.07</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0.00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-3.86%</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MUNICIPIOS</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ORGANISMOS MUNICIPALES</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ORGANISMOS ESTATALES</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FIDEICOMISOS</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sz w:val="20"/>
                <w:szCs w:val="20"/>
              </w:rPr>
            </w:pPr>
            <w:r w:rsidRPr="007E5E19">
              <w:rPr>
                <w:rFonts w:eastAsia="Times New Roman" w:cs="Calibri"/>
                <w:sz w:val="20"/>
                <w:szCs w:val="20"/>
              </w:rPr>
              <w:t>796.07</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sz w:val="20"/>
                <w:szCs w:val="20"/>
              </w:rPr>
            </w:pPr>
            <w:r w:rsidRPr="007E5E19">
              <w:rPr>
                <w:rFonts w:eastAsia="Times New Roman" w:cs="Calibri"/>
                <w:sz w:val="20"/>
                <w:szCs w:val="20"/>
              </w:rPr>
              <w:t>796.07</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0.00</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-3.86%</w:t>
            </w:r>
          </w:p>
        </w:tc>
      </w:tr>
      <w:tr w:rsidR="007E5E19" w:rsidRPr="007E5E19" w:rsidTr="007E5E19">
        <w:trPr>
          <w:trHeight w:val="31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57"/>
              <w:jc w:val="right"/>
              <w:rPr>
                <w:rFonts w:eastAsia="Times New Roman" w:cs="Calibri"/>
                <w:b/>
                <w:bCs/>
                <w:color w:val="000000"/>
                <w:sz w:val="20"/>
                <w:szCs w:val="20"/>
              </w:rPr>
            </w:pPr>
            <w:r w:rsidRPr="007E5E19">
              <w:rPr>
                <w:rFonts w:eastAsia="Times New Roman" w:cs="Calibri"/>
                <w:b/>
                <w:bCs/>
                <w:color w:val="000000"/>
                <w:sz w:val="20"/>
                <w:szCs w:val="20"/>
              </w:rPr>
              <w:t>DEUDA DIRECTA Y CONTINGENTE</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5,475.43</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5,277.16</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-198.26</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-7.34%</w:t>
            </w:r>
          </w:p>
        </w:tc>
      </w:tr>
      <w:tr w:rsidR="007E5E19" w:rsidRPr="007E5E19" w:rsidTr="007E5E19">
        <w:trPr>
          <w:trHeight w:val="225"/>
          <w:jc w:val="center"/>
        </w:trPr>
        <w:tc>
          <w:tcPr>
            <w:tcW w:w="2442"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rPr>
                <w:rFonts w:eastAsia="Times New Roman" w:cs="Calibri"/>
                <w:b/>
                <w:bCs/>
                <w:color w:val="000000"/>
                <w:sz w:val="20"/>
                <w:szCs w:val="20"/>
              </w:rPr>
            </w:pPr>
            <w:r w:rsidRPr="007E5E19">
              <w:rPr>
                <w:rFonts w:eastAsia="Times New Roman" w:cs="Calibri"/>
                <w:b/>
                <w:bCs/>
                <w:color w:val="000000"/>
                <w:sz w:val="20"/>
                <w:szCs w:val="20"/>
              </w:rPr>
              <w:t xml:space="preserve">DEUDA NO CONTIGENTE </w:t>
            </w:r>
            <w:r w:rsidRPr="007E5E19">
              <w:rPr>
                <w:rFonts w:eastAsia="Times New Roman" w:cs="Calibri"/>
                <w:color w:val="000000"/>
                <w:sz w:val="20"/>
                <w:szCs w:val="20"/>
              </w:rPr>
              <w:t>(No Aval Estado)</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1,605.37</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sz w:val="20"/>
                <w:szCs w:val="20"/>
              </w:rPr>
            </w:pPr>
            <w:r w:rsidRPr="007E5E19">
              <w:rPr>
                <w:rFonts w:eastAsia="Times New Roman" w:cs="Calibri"/>
                <w:b/>
                <w:bCs/>
                <w:sz w:val="20"/>
                <w:szCs w:val="20"/>
              </w:rPr>
              <w:t>1,461.08</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-144.28</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-12.50%</w:t>
            </w:r>
          </w:p>
        </w:tc>
      </w:tr>
      <w:tr w:rsidR="007E5E19" w:rsidRPr="007E5E19" w:rsidTr="007E5E19">
        <w:trPr>
          <w:trHeight w:val="315"/>
          <w:jc w:val="center"/>
        </w:trPr>
        <w:tc>
          <w:tcPr>
            <w:tcW w:w="2442" w:type="pct"/>
            <w:tcBorders>
              <w:top w:val="nil"/>
              <w:left w:val="single" w:sz="4" w:space="0" w:color="auto"/>
              <w:bottom w:val="nil"/>
              <w:right w:val="nil"/>
            </w:tcBorders>
            <w:shd w:val="clear" w:color="auto" w:fill="auto"/>
            <w:noWrap/>
            <w:vAlign w:val="center"/>
            <w:hideMark/>
          </w:tcPr>
          <w:p w:rsidR="007E5E19" w:rsidRPr="007E5E19" w:rsidRDefault="007E5E19" w:rsidP="002B2D8D">
            <w:pPr>
              <w:spacing w:after="0" w:line="240" w:lineRule="auto"/>
              <w:ind w:left="246"/>
              <w:rPr>
                <w:rFonts w:eastAsia="Times New Roman" w:cs="Calibri"/>
                <w:color w:val="000000"/>
                <w:sz w:val="20"/>
                <w:szCs w:val="20"/>
              </w:rPr>
            </w:pPr>
            <w:r w:rsidRPr="007E5E19">
              <w:rPr>
                <w:rFonts w:eastAsia="Times New Roman" w:cs="Calibri"/>
                <w:color w:val="000000"/>
                <w:sz w:val="20"/>
                <w:szCs w:val="20"/>
              </w:rPr>
              <w:t>MUNICIPIOS Y ORGANISMOS</w:t>
            </w:r>
          </w:p>
        </w:tc>
        <w:tc>
          <w:tcPr>
            <w:tcW w:w="640" w:type="pct"/>
            <w:tcBorders>
              <w:top w:val="nil"/>
              <w:left w:val="single" w:sz="4" w:space="0" w:color="auto"/>
              <w:bottom w:val="nil"/>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1,605.37</w:t>
            </w:r>
          </w:p>
        </w:tc>
        <w:tc>
          <w:tcPr>
            <w:tcW w:w="640" w:type="pct"/>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1,461.08</w:t>
            </w:r>
          </w:p>
        </w:tc>
        <w:tc>
          <w:tcPr>
            <w:tcW w:w="726"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-144.28</w:t>
            </w:r>
          </w:p>
        </w:tc>
        <w:tc>
          <w:tcPr>
            <w:tcW w:w="554" w:type="pct"/>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color w:val="000000"/>
                <w:sz w:val="20"/>
                <w:szCs w:val="20"/>
              </w:rPr>
            </w:pPr>
            <w:r w:rsidRPr="007E5E19">
              <w:rPr>
                <w:rFonts w:eastAsia="Times New Roman" w:cs="Calibri"/>
                <w:color w:val="000000"/>
                <w:sz w:val="20"/>
                <w:szCs w:val="20"/>
              </w:rPr>
              <w:t>-12.50%</w:t>
            </w:r>
          </w:p>
        </w:tc>
      </w:tr>
      <w:tr w:rsidR="007E5E19" w:rsidRPr="007E5E19" w:rsidTr="007E5E19">
        <w:trPr>
          <w:trHeight w:val="315"/>
          <w:jc w:val="center"/>
        </w:trPr>
        <w:tc>
          <w:tcPr>
            <w:tcW w:w="2442" w:type="pct"/>
            <w:tcBorders>
              <w:top w:val="nil"/>
              <w:left w:val="single" w:sz="4" w:space="0" w:color="auto"/>
              <w:bottom w:val="single" w:sz="4" w:space="0" w:color="auto"/>
              <w:right w:val="nil"/>
            </w:tcBorders>
            <w:shd w:val="clear" w:color="000000" w:fill="FFFFFF"/>
            <w:noWrap/>
            <w:vAlign w:val="center"/>
            <w:hideMark/>
          </w:tcPr>
          <w:p w:rsidR="007E5E19" w:rsidRPr="007E5E19" w:rsidRDefault="007E5E19" w:rsidP="002B2D8D">
            <w:pPr>
              <w:spacing w:after="0" w:line="240" w:lineRule="auto"/>
              <w:ind w:right="57"/>
              <w:jc w:val="right"/>
              <w:rPr>
                <w:rFonts w:eastAsia="Times New Roman" w:cs="Calibri"/>
                <w:b/>
                <w:bCs/>
                <w:color w:val="000000"/>
                <w:sz w:val="20"/>
                <w:szCs w:val="20"/>
              </w:rPr>
            </w:pPr>
            <w:r w:rsidRPr="007E5E19">
              <w:rPr>
                <w:rFonts w:eastAsia="Times New Roman" w:cs="Calibri"/>
                <w:b/>
                <w:bCs/>
                <w:color w:val="000000"/>
                <w:sz w:val="20"/>
                <w:szCs w:val="20"/>
              </w:rPr>
              <w:t>TOTAL ESTADO</w:t>
            </w:r>
          </w:p>
        </w:tc>
        <w:tc>
          <w:tcPr>
            <w:tcW w:w="640" w:type="pct"/>
            <w:tcBorders>
              <w:top w:val="nil"/>
              <w:left w:val="single" w:sz="4" w:space="0" w:color="auto"/>
              <w:bottom w:val="single" w:sz="4" w:space="0" w:color="auto"/>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7,080.79</w:t>
            </w:r>
          </w:p>
        </w:tc>
        <w:tc>
          <w:tcPr>
            <w:tcW w:w="640" w:type="pct"/>
            <w:tcBorders>
              <w:top w:val="nil"/>
              <w:left w:val="single" w:sz="4" w:space="0" w:color="auto"/>
              <w:bottom w:val="single" w:sz="4" w:space="0" w:color="auto"/>
              <w:right w:val="nil"/>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6,738.25</w:t>
            </w:r>
          </w:p>
        </w:tc>
        <w:tc>
          <w:tcPr>
            <w:tcW w:w="726" w:type="pct"/>
            <w:tcBorders>
              <w:top w:val="nil"/>
              <w:left w:val="single" w:sz="4" w:space="0" w:color="auto"/>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-342.55</w:t>
            </w:r>
          </w:p>
        </w:tc>
        <w:tc>
          <w:tcPr>
            <w:tcW w:w="554" w:type="pct"/>
            <w:tcBorders>
              <w:top w:val="nil"/>
              <w:left w:val="nil"/>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ind w:right="170"/>
              <w:jc w:val="right"/>
              <w:rPr>
                <w:rFonts w:eastAsia="Times New Roman" w:cs="Calibri"/>
                <w:b/>
                <w:bCs/>
                <w:color w:val="000000"/>
                <w:sz w:val="20"/>
                <w:szCs w:val="20"/>
              </w:rPr>
            </w:pPr>
            <w:r w:rsidRPr="007E5E19">
              <w:rPr>
                <w:rFonts w:eastAsia="Times New Roman" w:cs="Calibri"/>
                <w:b/>
                <w:bCs/>
                <w:color w:val="000000"/>
                <w:sz w:val="20"/>
                <w:szCs w:val="20"/>
              </w:rPr>
              <w:t>-8.51%</w:t>
            </w:r>
          </w:p>
        </w:tc>
      </w:tr>
    </w:tbl>
    <w:p w:rsidR="007E5E19" w:rsidRPr="00297D45" w:rsidRDefault="007E5E19" w:rsidP="007E5E19">
      <w:pPr>
        <w:spacing w:before="80" w:after="0" w:line="240" w:lineRule="auto"/>
        <w:rPr>
          <w:rFonts w:eastAsia="Times New Roman"/>
          <w:color w:val="000000"/>
          <w:sz w:val="18"/>
          <w:szCs w:val="16"/>
        </w:rPr>
      </w:pPr>
      <w:r w:rsidRPr="00297D45">
        <w:rPr>
          <w:rFonts w:eastAsia="Times New Roman"/>
          <w:color w:val="000000"/>
          <w:sz w:val="18"/>
          <w:szCs w:val="16"/>
        </w:rPr>
        <w:t>Fuente: Dirección de Financiamiento y Fideicomisos.</w:t>
      </w:r>
    </w:p>
    <w:p w:rsidR="007E5E19" w:rsidRPr="00297D45" w:rsidRDefault="007E5E19" w:rsidP="007E5E19">
      <w:pPr>
        <w:spacing w:after="0" w:line="240" w:lineRule="auto"/>
        <w:rPr>
          <w:sz w:val="18"/>
          <w:szCs w:val="16"/>
        </w:rPr>
      </w:pPr>
      <w:r w:rsidRPr="00297D45">
        <w:rPr>
          <w:sz w:val="18"/>
          <w:szCs w:val="16"/>
        </w:rPr>
        <w:t>Deflactor: Índice Nacional de Precios al Consumidor (Índice base segunda quincena de diciembre 2018=100)</w:t>
      </w:r>
    </w:p>
    <w:p w:rsidR="007E5E19" w:rsidRPr="00297D45" w:rsidRDefault="007E5E19" w:rsidP="007E5E19">
      <w:pPr>
        <w:spacing w:after="0" w:line="240" w:lineRule="auto"/>
        <w:rPr>
          <w:sz w:val="18"/>
          <w:szCs w:val="16"/>
        </w:rPr>
      </w:pPr>
      <w:r w:rsidRPr="00297D45">
        <w:rPr>
          <w:sz w:val="18"/>
          <w:szCs w:val="16"/>
        </w:rPr>
        <w:t>1/ Cifras preliminares.</w:t>
      </w:r>
    </w:p>
    <w:p w:rsidR="007E5E19" w:rsidRPr="00297D45" w:rsidRDefault="007E5E19" w:rsidP="007E5E19">
      <w:pPr>
        <w:spacing w:after="0" w:line="240" w:lineRule="auto"/>
        <w:rPr>
          <w:sz w:val="18"/>
          <w:szCs w:val="16"/>
        </w:rPr>
      </w:pPr>
      <w:r w:rsidRPr="00297D45">
        <w:rPr>
          <w:sz w:val="18"/>
          <w:szCs w:val="16"/>
        </w:rPr>
        <w:t>2/ Contratos celebrados con BANOBRAS en el año 2013. Solamente se pagan intereses, ya que ambos provienen del financiamiento PROFISE.</w:t>
      </w:r>
    </w:p>
    <w:p w:rsidR="007E5E19" w:rsidRPr="00297D45" w:rsidRDefault="007E5E19" w:rsidP="007E5E19">
      <w:pPr>
        <w:spacing w:after="0" w:line="240" w:lineRule="auto"/>
        <w:ind w:right="332"/>
        <w:rPr>
          <w:sz w:val="18"/>
          <w:szCs w:val="16"/>
        </w:rPr>
      </w:pPr>
      <w:r w:rsidRPr="00297D45">
        <w:rPr>
          <w:sz w:val="18"/>
          <w:szCs w:val="16"/>
        </w:rPr>
        <w:t>PROFISE: Programa de Financiamiento para la Infraestructura y la Seguridad de los Estados; conocido como CUPON CERO.</w:t>
      </w:r>
    </w:p>
    <w:p w:rsidR="007E5E19" w:rsidRPr="00297D45" w:rsidRDefault="007E5E19" w:rsidP="007E5E19">
      <w:pPr>
        <w:spacing w:after="0" w:line="240" w:lineRule="auto"/>
        <w:ind w:right="332"/>
        <w:rPr>
          <w:sz w:val="18"/>
          <w:szCs w:val="16"/>
        </w:rPr>
      </w:pPr>
      <w:r w:rsidRPr="00297D45">
        <w:rPr>
          <w:sz w:val="18"/>
          <w:szCs w:val="16"/>
        </w:rPr>
        <w:t>El Cupón en el transcurso del tiempo va adquiriendo valor, hasta que al final del contrato se redime el total del capital y de esta manera va disminuyendo la obligación financiera; sin estar amortizando mensualmente.</w:t>
      </w:r>
    </w:p>
    <w:p w:rsidR="00243AA2" w:rsidRPr="005F18CC" w:rsidRDefault="00243AA2" w:rsidP="000F44B2">
      <w:pPr>
        <w:rPr>
          <w:rFonts w:asciiTheme="minorHAnsi" w:hAnsiTheme="minorHAnsi" w:cstheme="minorHAnsi"/>
          <w:b/>
          <w:szCs w:val="24"/>
        </w:rPr>
      </w:pPr>
    </w:p>
    <w:p w:rsidR="000F44B2" w:rsidRDefault="00243AA2" w:rsidP="000F44B2">
      <w:pPr>
        <w:pStyle w:val="Ttulo3"/>
        <w:spacing w:after="240"/>
        <w:rPr>
          <w:rFonts w:asciiTheme="minorHAnsi" w:hAnsiTheme="minorHAnsi" w:cstheme="minorHAnsi"/>
        </w:rPr>
      </w:pPr>
      <w:bookmarkStart w:id="78" w:name="_Toc521935719"/>
      <w:bookmarkStart w:id="79" w:name="_Toc55491780"/>
      <w:r>
        <w:rPr>
          <w:rFonts w:asciiTheme="minorHAnsi" w:hAnsiTheme="minorHAnsi" w:cstheme="minorHAnsi"/>
        </w:rPr>
        <w:t>3.2</w:t>
      </w:r>
      <w:r w:rsidR="000F44B2" w:rsidRPr="005F18CC">
        <w:rPr>
          <w:rFonts w:asciiTheme="minorHAnsi" w:hAnsiTheme="minorHAnsi" w:cstheme="minorHAnsi"/>
        </w:rPr>
        <w:t>. Deuda Estatal Directa</w:t>
      </w:r>
      <w:bookmarkEnd w:id="78"/>
      <w:bookmarkEnd w:id="79"/>
    </w:p>
    <w:p w:rsidR="007E5E19" w:rsidRDefault="007E5E19" w:rsidP="007E5E19">
      <w:pPr>
        <w:spacing w:after="0"/>
        <w:rPr>
          <w:szCs w:val="24"/>
        </w:rPr>
      </w:pPr>
      <w:r>
        <w:rPr>
          <w:szCs w:val="24"/>
        </w:rPr>
        <w:t>Al 30 de septiembre de 2020 la deuda directa se integra en nueve contratos de crédito simple, compuesta con siete contratos con la banca comercial y dos con la banca de desarrollo, cuyos montos y saldos se reflejan en el siguiente cuadro:</w:t>
      </w:r>
    </w:p>
    <w:p w:rsidR="007E5E19" w:rsidRDefault="007E5E19" w:rsidP="007E5E19">
      <w:pPr>
        <w:spacing w:after="0"/>
        <w:rPr>
          <w:szCs w:val="24"/>
        </w:rPr>
      </w:pPr>
    </w:p>
    <w:p w:rsidR="007E5E19" w:rsidRDefault="007E5E19" w:rsidP="007E5E19">
      <w:pPr>
        <w:spacing w:after="0"/>
        <w:rPr>
          <w:szCs w:val="24"/>
        </w:rPr>
      </w:pPr>
    </w:p>
    <w:p w:rsidR="007E5E19" w:rsidRDefault="007E5E19" w:rsidP="007E5E19">
      <w:pPr>
        <w:spacing w:after="0"/>
        <w:rPr>
          <w:szCs w:val="24"/>
        </w:rPr>
      </w:pPr>
    </w:p>
    <w:p w:rsidR="007E5E19" w:rsidRDefault="007E5E19" w:rsidP="007E5E19">
      <w:pPr>
        <w:spacing w:after="0"/>
        <w:rPr>
          <w:szCs w:val="24"/>
        </w:rPr>
      </w:pPr>
    </w:p>
    <w:p w:rsidR="007E5E19" w:rsidRDefault="007E5E19" w:rsidP="007E5E19">
      <w:pPr>
        <w:spacing w:after="0"/>
        <w:rPr>
          <w:szCs w:val="24"/>
        </w:rPr>
      </w:pPr>
    </w:p>
    <w:p w:rsidR="007E5E19" w:rsidRDefault="007E5E19" w:rsidP="007E5E19">
      <w:pPr>
        <w:spacing w:after="0"/>
        <w:rPr>
          <w:szCs w:val="24"/>
        </w:rPr>
      </w:pPr>
    </w:p>
    <w:tbl>
      <w:tblPr>
        <w:tblW w:w="9311" w:type="dxa"/>
        <w:jc w:val="center"/>
        <w:tblLayout w:type="fixed"/>
        <w:tblCellMar>
          <w:left w:w="70" w:type="dxa"/>
          <w:right w:w="70" w:type="dxa"/>
        </w:tblCellMar>
        <w:tblLook w:val="04A0" w:firstRow="1" w:lastRow="0" w:firstColumn="1" w:lastColumn="0" w:noHBand="0" w:noVBand="1"/>
      </w:tblPr>
      <w:tblGrid>
        <w:gridCol w:w="1701"/>
        <w:gridCol w:w="1606"/>
        <w:gridCol w:w="1606"/>
        <w:gridCol w:w="1607"/>
        <w:gridCol w:w="1395"/>
        <w:gridCol w:w="1396"/>
      </w:tblGrid>
      <w:tr w:rsidR="007E5E19" w:rsidRPr="00523CBE" w:rsidTr="002B2D8D">
        <w:trPr>
          <w:trHeight w:val="315"/>
          <w:jc w:val="center"/>
        </w:trPr>
        <w:tc>
          <w:tcPr>
            <w:tcW w:w="9311" w:type="dxa"/>
            <w:gridSpan w:val="6"/>
            <w:tcBorders>
              <w:top w:val="nil"/>
              <w:left w:val="nil"/>
              <w:bottom w:val="single" w:sz="4" w:space="0" w:color="auto"/>
              <w:right w:val="nil"/>
            </w:tcBorders>
            <w:shd w:val="clear" w:color="auto" w:fill="auto"/>
            <w:noWrap/>
            <w:vAlign w:val="center"/>
            <w:hideMark/>
          </w:tcPr>
          <w:p w:rsidR="007E5E19" w:rsidRDefault="007E5E19" w:rsidP="002B2D8D">
            <w:pPr>
              <w:spacing w:after="0" w:line="240" w:lineRule="auto"/>
              <w:jc w:val="center"/>
              <w:rPr>
                <w:rFonts w:eastAsia="Times New Roman" w:cstheme="minorHAnsi"/>
                <w:b/>
                <w:bCs/>
                <w:color w:val="000000"/>
              </w:rPr>
            </w:pPr>
            <w:r w:rsidRPr="00523CBE">
              <w:rPr>
                <w:rFonts w:eastAsia="Times New Roman" w:cstheme="minorHAnsi"/>
                <w:b/>
                <w:bCs/>
                <w:color w:val="000000"/>
              </w:rPr>
              <w:t>FUENTES DE FINANCIAMIENTO DE LA DEUDA DIRECTA</w:t>
            </w:r>
          </w:p>
          <w:p w:rsidR="007E5E19" w:rsidRPr="00523CBE" w:rsidRDefault="007E5E19" w:rsidP="002B2D8D">
            <w:pPr>
              <w:spacing w:after="80" w:line="240" w:lineRule="auto"/>
              <w:jc w:val="center"/>
              <w:rPr>
                <w:rFonts w:eastAsia="Times New Roman" w:cstheme="minorHAnsi"/>
                <w:b/>
                <w:bCs/>
                <w:color w:val="000000"/>
              </w:rPr>
            </w:pPr>
            <w:r w:rsidRPr="00523CBE">
              <w:rPr>
                <w:rFonts w:eastAsia="Times New Roman" w:cstheme="minorHAnsi"/>
                <w:b/>
                <w:bCs/>
                <w:color w:val="000000"/>
              </w:rPr>
              <w:t>(</w:t>
            </w:r>
            <w:r w:rsidRPr="0071338B">
              <w:rPr>
                <w:rFonts w:eastAsia="Times New Roman" w:cs="Calibri"/>
                <w:b/>
                <w:bCs/>
                <w:color w:val="000000"/>
              </w:rPr>
              <w:t>MILLONES DE PESOS)</w:t>
            </w:r>
          </w:p>
        </w:tc>
      </w:tr>
      <w:tr w:rsidR="007E5E19" w:rsidRPr="00523CBE" w:rsidTr="002B2D8D">
        <w:trPr>
          <w:trHeight w:val="315"/>
          <w:jc w:val="center"/>
        </w:trPr>
        <w:tc>
          <w:tcPr>
            <w:tcW w:w="170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CONCEPTO</w:t>
            </w:r>
          </w:p>
        </w:tc>
        <w:tc>
          <w:tcPr>
            <w:tcW w:w="160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APROBADO</w:t>
            </w:r>
          </w:p>
        </w:tc>
        <w:tc>
          <w:tcPr>
            <w:tcW w:w="160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FECHA REGISTRO ANTE LA S.H.C.P.</w:t>
            </w:r>
          </w:p>
        </w:tc>
        <w:tc>
          <w:tcPr>
            <w:tcW w:w="160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REGISTRADO</w:t>
            </w:r>
          </w:p>
        </w:tc>
        <w:tc>
          <w:tcPr>
            <w:tcW w:w="2791" w:type="dxa"/>
            <w:gridSpan w:val="2"/>
            <w:tcBorders>
              <w:top w:val="single" w:sz="4" w:space="0" w:color="auto"/>
              <w:left w:val="single" w:sz="4" w:space="0" w:color="FFFFFF" w:themeColor="background1"/>
              <w:bottom w:val="single" w:sz="4" w:space="0" w:color="FFFFFF" w:themeColor="background1"/>
              <w:right w:val="single" w:sz="4" w:space="0" w:color="000000"/>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SALDO A</w:t>
            </w:r>
          </w:p>
        </w:tc>
      </w:tr>
      <w:tr w:rsidR="007E5E19" w:rsidRPr="00523CBE" w:rsidTr="002B2D8D">
        <w:trPr>
          <w:trHeight w:val="585"/>
          <w:jc w:val="center"/>
        </w:trPr>
        <w:tc>
          <w:tcPr>
            <w:tcW w:w="1701" w:type="dxa"/>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7E5E19" w:rsidRPr="00523CBE" w:rsidRDefault="007E5E19" w:rsidP="002B2D8D">
            <w:pPr>
              <w:spacing w:after="0" w:line="240" w:lineRule="auto"/>
              <w:rPr>
                <w:rFonts w:eastAsia="Times New Roman" w:cstheme="minorHAnsi"/>
                <w:b/>
                <w:bCs/>
                <w:color w:val="FFFFFF"/>
              </w:rPr>
            </w:pPr>
          </w:p>
        </w:tc>
        <w:tc>
          <w:tcPr>
            <w:tcW w:w="16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7E5E19" w:rsidRPr="00523CBE" w:rsidRDefault="007E5E19" w:rsidP="002B2D8D">
            <w:pPr>
              <w:spacing w:after="0" w:line="240" w:lineRule="auto"/>
              <w:rPr>
                <w:rFonts w:eastAsia="Times New Roman" w:cstheme="minorHAnsi"/>
                <w:b/>
                <w:bCs/>
                <w:color w:val="FFFFFF"/>
              </w:rPr>
            </w:pPr>
          </w:p>
        </w:tc>
        <w:tc>
          <w:tcPr>
            <w:tcW w:w="16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7E5E19" w:rsidRPr="00523CBE" w:rsidRDefault="007E5E19" w:rsidP="002B2D8D">
            <w:pPr>
              <w:spacing w:after="0" w:line="240" w:lineRule="auto"/>
              <w:rPr>
                <w:rFonts w:eastAsia="Times New Roman" w:cstheme="minorHAnsi"/>
                <w:b/>
                <w:bCs/>
                <w:color w:val="FFFFFF"/>
              </w:rPr>
            </w:pPr>
          </w:p>
        </w:tc>
        <w:tc>
          <w:tcPr>
            <w:tcW w:w="1607"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7E5E19" w:rsidRPr="00523CBE" w:rsidRDefault="007E5E19" w:rsidP="002B2D8D">
            <w:pPr>
              <w:spacing w:after="0" w:line="240" w:lineRule="auto"/>
              <w:rPr>
                <w:rFonts w:eastAsia="Times New Roman" w:cstheme="minorHAnsi"/>
                <w:b/>
                <w:bCs/>
                <w:color w:val="FFFFFF"/>
              </w:rPr>
            </w:pPr>
          </w:p>
        </w:tc>
        <w:tc>
          <w:tcPr>
            <w:tcW w:w="139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SEPTIEMBRE 2019</w:t>
            </w:r>
          </w:p>
        </w:tc>
        <w:tc>
          <w:tcPr>
            <w:tcW w:w="1396"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7E5E19" w:rsidRPr="00523CBE" w:rsidRDefault="007E5E19" w:rsidP="002B2D8D">
            <w:pPr>
              <w:spacing w:after="0" w:line="240" w:lineRule="auto"/>
              <w:jc w:val="center"/>
              <w:rPr>
                <w:rFonts w:eastAsia="Times New Roman" w:cstheme="minorHAnsi"/>
                <w:b/>
                <w:bCs/>
                <w:color w:val="FFFFFF"/>
              </w:rPr>
            </w:pPr>
            <w:r w:rsidRPr="00523CBE">
              <w:rPr>
                <w:rFonts w:eastAsia="Times New Roman" w:cstheme="minorHAnsi"/>
                <w:b/>
                <w:bCs/>
                <w:color w:val="FFFFFF"/>
              </w:rPr>
              <w:t xml:space="preserve">SEPTIEMBRE 2020 </w:t>
            </w:r>
            <w:r w:rsidRPr="00523CBE">
              <w:rPr>
                <w:rFonts w:eastAsia="Times New Roman" w:cstheme="minorHAnsi"/>
                <w:b/>
                <w:bCs/>
                <w:color w:val="FFFFFF"/>
                <w:vertAlign w:val="superscript"/>
              </w:rPr>
              <w:t>1/</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jc w:val="right"/>
              <w:rPr>
                <w:rFonts w:eastAsia="Times New Roman" w:cstheme="minorHAnsi"/>
                <w:b/>
                <w:bCs/>
              </w:rPr>
            </w:pPr>
            <w:r w:rsidRPr="00523CBE">
              <w:rPr>
                <w:rFonts w:eastAsia="Times New Roman" w:cstheme="minorHAnsi"/>
                <w:b/>
                <w:bCs/>
              </w:rPr>
              <w:t>TOTAL</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b/>
                <w:bCs/>
              </w:rPr>
            </w:pPr>
            <w:r w:rsidRPr="00523CBE">
              <w:rPr>
                <w:rFonts w:eastAsia="Times New Roman" w:cstheme="minorHAnsi"/>
                <w:b/>
                <w:bCs/>
              </w:rPr>
              <w:t>5,798.08</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b/>
                <w:bCs/>
                <w:color w:val="000000"/>
              </w:rPr>
            </w:pPr>
            <w:r w:rsidRPr="00523CBE">
              <w:rPr>
                <w:rFonts w:eastAsia="Times New Roman" w:cstheme="minorHAnsi"/>
                <w:b/>
                <w:bCs/>
                <w:color w:val="000000"/>
              </w:rPr>
              <w:t> </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b/>
                <w:bCs/>
              </w:rPr>
            </w:pPr>
            <w:r w:rsidRPr="00523CBE">
              <w:rPr>
                <w:rFonts w:eastAsia="Times New Roman" w:cstheme="minorHAnsi"/>
                <w:b/>
                <w:bCs/>
              </w:rPr>
              <w:t>5,798.08</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b/>
                <w:bCs/>
              </w:rPr>
            </w:pPr>
            <w:r w:rsidRPr="00523CBE">
              <w:rPr>
                <w:rFonts w:eastAsia="Times New Roman" w:cstheme="minorHAnsi"/>
                <w:b/>
                <w:bCs/>
              </w:rPr>
              <w:t>4,679.35</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b/>
                <w:bCs/>
              </w:rPr>
            </w:pPr>
            <w:r w:rsidRPr="00523CBE">
              <w:rPr>
                <w:rFonts w:eastAsia="Times New Roman" w:cstheme="minorHAnsi"/>
                <w:b/>
                <w:bCs/>
              </w:rPr>
              <w:t>4,481.09</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1-BANORTE</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2,370.00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28/12/2006</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2,370.00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2,002.65</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1,919.70</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2-BANORTE</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125.00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31/05/2010</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125.00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54.19</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44.65</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3-BANORTE</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125.00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23/09/2010</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125.00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56.56</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47.02</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4-BANORTE</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1,339.00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28/11/2011</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1,339.00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1,061.54</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1,018.44</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5-BANAMEX</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500.00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03/04/2012</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500.00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449.42</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436.35</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6-BANCOMER</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339.00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03/04/2012</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339.00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278.45</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265.27</w:t>
            </w:r>
          </w:p>
        </w:tc>
      </w:tr>
      <w:tr w:rsidR="007E5E19" w:rsidRPr="00523CBE" w:rsidTr="002B2D8D">
        <w:trPr>
          <w:trHeight w:val="340"/>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7-BANCOMER</w:t>
            </w:r>
          </w:p>
        </w:tc>
        <w:tc>
          <w:tcPr>
            <w:tcW w:w="1606" w:type="dxa"/>
            <w:tcBorders>
              <w:top w:val="nil"/>
              <w:left w:val="nil"/>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422.00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11/12/2012</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422.00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379.19</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367.86</w:t>
            </w:r>
          </w:p>
        </w:tc>
      </w:tr>
      <w:tr w:rsidR="007E5E19" w:rsidRPr="00523CBE" w:rsidTr="002B2D8D">
        <w:trPr>
          <w:trHeight w:val="340"/>
          <w:jc w:val="center"/>
        </w:trPr>
        <w:tc>
          <w:tcPr>
            <w:tcW w:w="1701" w:type="dxa"/>
            <w:tcBorders>
              <w:top w:val="nil"/>
              <w:left w:val="single" w:sz="4" w:space="0" w:color="auto"/>
              <w:bottom w:val="nil"/>
              <w:right w:val="nil"/>
            </w:tcBorders>
            <w:shd w:val="clear" w:color="000000" w:fill="FFFFFF"/>
            <w:noWrap/>
            <w:vAlign w:val="center"/>
            <w:hideMark/>
          </w:tcPr>
          <w:p w:rsidR="007E5E19" w:rsidRPr="00523CBE" w:rsidRDefault="007E5E19" w:rsidP="002B2D8D">
            <w:pPr>
              <w:spacing w:after="0" w:line="240" w:lineRule="auto"/>
              <w:rPr>
                <w:rFonts w:eastAsia="Times New Roman" w:cstheme="minorHAnsi"/>
              </w:rPr>
            </w:pPr>
            <w:r w:rsidRPr="00523CBE">
              <w:rPr>
                <w:rFonts w:eastAsia="Times New Roman" w:cstheme="minorHAnsi"/>
              </w:rPr>
              <w:t xml:space="preserve">8-BANOBRAS </w:t>
            </w:r>
            <w:r w:rsidRPr="00523CBE">
              <w:rPr>
                <w:rFonts w:eastAsia="Times New Roman" w:cstheme="minorHAnsi"/>
                <w:vertAlign w:val="superscript"/>
              </w:rPr>
              <w:t>2/</w:t>
            </w:r>
          </w:p>
        </w:tc>
        <w:tc>
          <w:tcPr>
            <w:tcW w:w="1606" w:type="dxa"/>
            <w:tcBorders>
              <w:top w:val="nil"/>
              <w:left w:val="single" w:sz="4" w:space="0" w:color="auto"/>
              <w:bottom w:val="nil"/>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485.00</w:t>
            </w:r>
          </w:p>
        </w:tc>
        <w:tc>
          <w:tcPr>
            <w:tcW w:w="1606" w:type="dxa"/>
            <w:tcBorders>
              <w:top w:val="nil"/>
              <w:left w:val="single" w:sz="4" w:space="0" w:color="auto"/>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24/07/2013</w:t>
            </w:r>
          </w:p>
        </w:tc>
        <w:tc>
          <w:tcPr>
            <w:tcW w:w="1607"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485.00</w:t>
            </w:r>
          </w:p>
        </w:tc>
        <w:tc>
          <w:tcPr>
            <w:tcW w:w="1395"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332.73</w:t>
            </w:r>
          </w:p>
        </w:tc>
        <w:tc>
          <w:tcPr>
            <w:tcW w:w="1396" w:type="dxa"/>
            <w:tcBorders>
              <w:top w:val="nil"/>
              <w:left w:val="nil"/>
              <w:bottom w:val="nil"/>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319.56</w:t>
            </w:r>
          </w:p>
        </w:tc>
      </w:tr>
      <w:tr w:rsidR="007E5E19" w:rsidRPr="00523CBE" w:rsidTr="002B2D8D">
        <w:trPr>
          <w:trHeight w:val="340"/>
          <w:jc w:val="center"/>
        </w:trPr>
        <w:tc>
          <w:tcPr>
            <w:tcW w:w="1701" w:type="dxa"/>
            <w:tcBorders>
              <w:top w:val="nil"/>
              <w:left w:val="single" w:sz="4" w:space="0" w:color="auto"/>
              <w:bottom w:val="single" w:sz="4" w:space="0" w:color="auto"/>
              <w:right w:val="nil"/>
            </w:tcBorders>
            <w:shd w:val="clear" w:color="auto" w:fill="auto"/>
            <w:noWrap/>
            <w:vAlign w:val="center"/>
            <w:hideMark/>
          </w:tcPr>
          <w:p w:rsidR="007E5E19" w:rsidRPr="00523CBE" w:rsidRDefault="007E5E19" w:rsidP="002B2D8D">
            <w:pPr>
              <w:spacing w:after="0" w:line="240" w:lineRule="auto"/>
              <w:rPr>
                <w:rFonts w:eastAsia="Times New Roman" w:cstheme="minorHAnsi"/>
                <w:color w:val="000000"/>
              </w:rPr>
            </w:pPr>
            <w:r w:rsidRPr="00523CBE">
              <w:rPr>
                <w:rFonts w:eastAsia="Times New Roman" w:cstheme="minorHAnsi"/>
                <w:color w:val="000000"/>
              </w:rPr>
              <w:t xml:space="preserve">9-BANOBRAS </w:t>
            </w:r>
            <w:r w:rsidRPr="00523CBE">
              <w:rPr>
                <w:rFonts w:eastAsia="Times New Roman" w:cstheme="minorHAnsi"/>
                <w:color w:val="000000"/>
                <w:vertAlign w:val="superscript"/>
              </w:rPr>
              <w:t>2/</w:t>
            </w:r>
          </w:p>
        </w:tc>
        <w:tc>
          <w:tcPr>
            <w:tcW w:w="1606" w:type="dxa"/>
            <w:tcBorders>
              <w:top w:val="nil"/>
              <w:left w:val="single" w:sz="4" w:space="0" w:color="auto"/>
              <w:bottom w:val="single" w:sz="4" w:space="0" w:color="auto"/>
              <w:right w:val="nil"/>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93.08</w:t>
            </w:r>
          </w:p>
        </w:tc>
        <w:tc>
          <w:tcPr>
            <w:tcW w:w="1606" w:type="dxa"/>
            <w:tcBorders>
              <w:top w:val="nil"/>
              <w:left w:val="single" w:sz="4" w:space="0" w:color="auto"/>
              <w:bottom w:val="single" w:sz="4" w:space="0" w:color="auto"/>
              <w:right w:val="single" w:sz="4" w:space="0" w:color="auto"/>
            </w:tcBorders>
            <w:shd w:val="clear" w:color="000000" w:fill="FFFFFF"/>
            <w:noWrap/>
            <w:vAlign w:val="center"/>
            <w:hideMark/>
          </w:tcPr>
          <w:p w:rsidR="007E5E19" w:rsidRPr="00523CBE" w:rsidRDefault="007E5E19" w:rsidP="002B2D8D">
            <w:pPr>
              <w:spacing w:after="0" w:line="240" w:lineRule="auto"/>
              <w:ind w:right="170"/>
              <w:jc w:val="right"/>
              <w:rPr>
                <w:rFonts w:eastAsia="Times New Roman" w:cstheme="minorHAnsi"/>
                <w:color w:val="000000"/>
              </w:rPr>
            </w:pPr>
            <w:r w:rsidRPr="00523CBE">
              <w:rPr>
                <w:rFonts w:eastAsia="Times New Roman" w:cstheme="minorHAnsi"/>
                <w:color w:val="000000"/>
              </w:rPr>
              <w:t>25/02/2014</w:t>
            </w:r>
          </w:p>
        </w:tc>
        <w:tc>
          <w:tcPr>
            <w:tcW w:w="1607" w:type="dxa"/>
            <w:tcBorders>
              <w:top w:val="nil"/>
              <w:left w:val="nil"/>
              <w:bottom w:val="single" w:sz="4" w:space="0" w:color="auto"/>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93.08</w:t>
            </w:r>
          </w:p>
        </w:tc>
        <w:tc>
          <w:tcPr>
            <w:tcW w:w="1395" w:type="dxa"/>
            <w:tcBorders>
              <w:top w:val="nil"/>
              <w:left w:val="nil"/>
              <w:bottom w:val="single" w:sz="4" w:space="0" w:color="auto"/>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64.63</w:t>
            </w:r>
          </w:p>
        </w:tc>
        <w:tc>
          <w:tcPr>
            <w:tcW w:w="1396" w:type="dxa"/>
            <w:tcBorders>
              <w:top w:val="nil"/>
              <w:left w:val="nil"/>
              <w:bottom w:val="single" w:sz="4" w:space="0" w:color="auto"/>
              <w:right w:val="single" w:sz="4" w:space="0" w:color="auto"/>
            </w:tcBorders>
            <w:shd w:val="clear" w:color="000000" w:fill="FFFFFF"/>
            <w:noWrap/>
            <w:vAlign w:val="center"/>
            <w:hideMark/>
          </w:tcPr>
          <w:p w:rsidR="007E5E19" w:rsidRPr="00523CBE" w:rsidRDefault="007E5E19" w:rsidP="002B2D8D">
            <w:pPr>
              <w:spacing w:after="0" w:line="240" w:lineRule="auto"/>
              <w:ind w:right="284"/>
              <w:jc w:val="right"/>
              <w:rPr>
                <w:rFonts w:eastAsia="Times New Roman" w:cstheme="minorHAnsi"/>
                <w:color w:val="000000"/>
              </w:rPr>
            </w:pPr>
            <w:r w:rsidRPr="00523CBE">
              <w:rPr>
                <w:rFonts w:eastAsia="Times New Roman" w:cstheme="minorHAnsi"/>
                <w:color w:val="000000"/>
              </w:rPr>
              <w:t>62.24</w:t>
            </w:r>
          </w:p>
        </w:tc>
      </w:tr>
    </w:tbl>
    <w:p w:rsidR="007E5E19" w:rsidRPr="00523CBE" w:rsidRDefault="007E5E19" w:rsidP="007E5E19">
      <w:pPr>
        <w:spacing w:before="80" w:after="0" w:line="240" w:lineRule="auto"/>
        <w:rPr>
          <w:sz w:val="18"/>
          <w:szCs w:val="18"/>
        </w:rPr>
      </w:pPr>
      <w:r>
        <w:rPr>
          <w:rFonts w:eastAsia="Times New Roman"/>
          <w:color w:val="000000"/>
          <w:sz w:val="16"/>
          <w:szCs w:val="16"/>
        </w:rPr>
        <w:t>F</w:t>
      </w:r>
      <w:r w:rsidRPr="00523CBE">
        <w:rPr>
          <w:rFonts w:eastAsia="Times New Roman"/>
          <w:color w:val="000000"/>
          <w:sz w:val="18"/>
          <w:szCs w:val="18"/>
        </w:rPr>
        <w:t>uente: Dirección de Financiamiento y Fideicomisos</w:t>
      </w:r>
    </w:p>
    <w:p w:rsidR="007E5E19" w:rsidRPr="00523CBE" w:rsidRDefault="007E5E19" w:rsidP="007E5E19">
      <w:pPr>
        <w:spacing w:after="0" w:line="240" w:lineRule="auto"/>
        <w:rPr>
          <w:sz w:val="18"/>
          <w:szCs w:val="18"/>
        </w:rPr>
      </w:pPr>
      <w:r w:rsidRPr="00523CBE">
        <w:rPr>
          <w:sz w:val="18"/>
          <w:szCs w:val="18"/>
        </w:rPr>
        <w:t>1/ Cifras preliminares.</w:t>
      </w:r>
    </w:p>
    <w:p w:rsidR="007E5E19" w:rsidRPr="00523CBE" w:rsidRDefault="007E5E19" w:rsidP="007E5E19">
      <w:pPr>
        <w:spacing w:after="0" w:line="240" w:lineRule="auto"/>
        <w:rPr>
          <w:sz w:val="18"/>
          <w:szCs w:val="18"/>
        </w:rPr>
      </w:pPr>
      <w:r w:rsidRPr="00523CBE">
        <w:rPr>
          <w:sz w:val="18"/>
          <w:szCs w:val="18"/>
        </w:rPr>
        <w:t>2/ Contratos celebrados con BANOBRAS en el año 2013. Solamente se pagan intereses, ya que ambos provienen del financiamiento PROFISE.</w:t>
      </w:r>
    </w:p>
    <w:p w:rsidR="007E5E19" w:rsidRPr="00523CBE" w:rsidRDefault="007E5E19" w:rsidP="007E5E19">
      <w:pPr>
        <w:spacing w:after="0" w:line="240" w:lineRule="auto"/>
        <w:ind w:right="332"/>
        <w:rPr>
          <w:sz w:val="18"/>
          <w:szCs w:val="18"/>
        </w:rPr>
      </w:pPr>
      <w:r w:rsidRPr="00523CBE">
        <w:rPr>
          <w:sz w:val="18"/>
          <w:szCs w:val="18"/>
        </w:rPr>
        <w:t>PROFISE: Programa de Financiamiento para la Infraestructura y la Seguridad de los Estados; conocido como CUPON CERO.</w:t>
      </w:r>
    </w:p>
    <w:p w:rsidR="007E5E19" w:rsidRPr="00523CBE" w:rsidRDefault="007E5E19" w:rsidP="007E5E19">
      <w:pPr>
        <w:spacing w:after="0" w:line="240" w:lineRule="auto"/>
        <w:ind w:right="332"/>
        <w:rPr>
          <w:sz w:val="18"/>
          <w:szCs w:val="18"/>
        </w:rPr>
      </w:pPr>
      <w:r w:rsidRPr="00523CBE">
        <w:rPr>
          <w:sz w:val="18"/>
          <w:szCs w:val="18"/>
        </w:rPr>
        <w:t>El Cupón en el transcurso del tiempo va adquiriendo valor, hasta que al final del contrato se redime el total del capital y de esta manera va disminuyendo la obligación financiera; sin estar amortizando mensualmente.</w:t>
      </w:r>
    </w:p>
    <w:p w:rsidR="007E5E19" w:rsidRDefault="007E5E19" w:rsidP="007E5E19">
      <w:pPr>
        <w:spacing w:after="0"/>
        <w:rPr>
          <w:b/>
          <w:sz w:val="16"/>
          <w:szCs w:val="16"/>
        </w:rPr>
      </w:pPr>
    </w:p>
    <w:p w:rsidR="007E5E19" w:rsidRPr="00887D71" w:rsidRDefault="007E5E19" w:rsidP="007E5E19">
      <w:pPr>
        <w:spacing w:after="0"/>
        <w:rPr>
          <w:szCs w:val="24"/>
        </w:rPr>
      </w:pPr>
      <w:r w:rsidRPr="00887D71">
        <w:rPr>
          <w:szCs w:val="24"/>
        </w:rPr>
        <w:t>Al 30deseptiembrede 2020 arrojó un saldo de 4,481.09 millones de pesos,</w:t>
      </w:r>
      <w:r>
        <w:rPr>
          <w:szCs w:val="24"/>
        </w:rPr>
        <w:t xml:space="preserve"> </w:t>
      </w:r>
      <w:r w:rsidRPr="00887D71">
        <w:rPr>
          <w:szCs w:val="24"/>
        </w:rPr>
        <w:t>presentando una disminución en términos reales de7.93% respecto al saldo del mismo día del año inmediato anterior; esta disminución se debió a una reducción en términos reales del 7.96% de la deuda contratada con la banca comercial y una disminución del 7.62% con la banca de desarrollo.</w:t>
      </w:r>
    </w:p>
    <w:p w:rsidR="000F44B2" w:rsidRPr="008F407A" w:rsidRDefault="000F44B2" w:rsidP="000F44B2">
      <w:pPr>
        <w:spacing w:after="0"/>
        <w:rPr>
          <w:szCs w:val="24"/>
        </w:rPr>
      </w:pPr>
    </w:p>
    <w:p w:rsidR="000F44B2" w:rsidRPr="008F407A" w:rsidRDefault="000F44B2" w:rsidP="000F44B2">
      <w:pPr>
        <w:spacing w:after="0"/>
        <w:rPr>
          <w:szCs w:val="24"/>
        </w:rPr>
      </w:pPr>
    </w:p>
    <w:p w:rsidR="008C1534" w:rsidRDefault="00243AA2" w:rsidP="008C1534">
      <w:pPr>
        <w:pStyle w:val="Ttulo3"/>
        <w:spacing w:before="0" w:after="240"/>
        <w:rPr>
          <w:rFonts w:asciiTheme="minorHAnsi" w:hAnsiTheme="minorHAnsi" w:cstheme="minorHAnsi"/>
          <w:szCs w:val="24"/>
        </w:rPr>
      </w:pPr>
      <w:bookmarkStart w:id="80" w:name="_Toc521935720"/>
      <w:bookmarkStart w:id="81" w:name="_Toc55491781"/>
      <w:r>
        <w:rPr>
          <w:rFonts w:asciiTheme="minorHAnsi" w:hAnsiTheme="minorHAnsi" w:cstheme="minorHAnsi"/>
          <w:szCs w:val="24"/>
        </w:rPr>
        <w:t>3.3</w:t>
      </w:r>
      <w:r w:rsidR="000F44B2" w:rsidRPr="008F407A">
        <w:rPr>
          <w:rFonts w:asciiTheme="minorHAnsi" w:hAnsiTheme="minorHAnsi" w:cstheme="minorHAnsi"/>
          <w:szCs w:val="24"/>
        </w:rPr>
        <w:t>. Deuda Estatal Contingente</w:t>
      </w:r>
      <w:bookmarkStart w:id="82" w:name="_Toc521935721"/>
      <w:bookmarkEnd w:id="80"/>
      <w:bookmarkEnd w:id="81"/>
    </w:p>
    <w:p w:rsidR="007E5E19" w:rsidRPr="00887D71" w:rsidRDefault="007E5E19" w:rsidP="007E5E19">
      <w:pPr>
        <w:spacing w:after="0"/>
        <w:rPr>
          <w:szCs w:val="24"/>
        </w:rPr>
      </w:pPr>
      <w:bookmarkStart w:id="83" w:name="_Hlk529359941"/>
      <w:r w:rsidRPr="00887D71">
        <w:rPr>
          <w:szCs w:val="24"/>
        </w:rPr>
        <w:t>Al cierre del tercer trimestre de 2020 presentó un saldo de 796.07 millones de pesos, arrojando una variación real negativa de 3.86% respecto al cierre del tercer</w:t>
      </w:r>
      <w:r>
        <w:rPr>
          <w:szCs w:val="24"/>
        </w:rPr>
        <w:t xml:space="preserve"> </w:t>
      </w:r>
      <w:r w:rsidRPr="00887D71">
        <w:rPr>
          <w:szCs w:val="24"/>
        </w:rPr>
        <w:t xml:space="preserve">trimestre de </w:t>
      </w:r>
      <w:r w:rsidRPr="00887D71">
        <w:rPr>
          <w:szCs w:val="24"/>
        </w:rPr>
        <w:lastRenderedPageBreak/>
        <w:t>2019;</w:t>
      </w:r>
      <w:r>
        <w:rPr>
          <w:szCs w:val="24"/>
        </w:rPr>
        <w:t xml:space="preserve"> </w:t>
      </w:r>
      <w:r w:rsidRPr="00887D71">
        <w:rPr>
          <w:szCs w:val="24"/>
        </w:rPr>
        <w:t>está deuda se</w:t>
      </w:r>
      <w:r>
        <w:rPr>
          <w:szCs w:val="24"/>
        </w:rPr>
        <w:t xml:space="preserve"> </w:t>
      </w:r>
      <w:r w:rsidRPr="00887D71">
        <w:rPr>
          <w:szCs w:val="24"/>
        </w:rPr>
        <w:t>integra con un financiamiento celebrado por el fideicomiso que administra y opera la Autopista Benito Juárez.</w:t>
      </w:r>
      <w:bookmarkEnd w:id="83"/>
    </w:p>
    <w:p w:rsidR="008C1534" w:rsidRPr="008C1534" w:rsidRDefault="008C1534" w:rsidP="008C1534"/>
    <w:p w:rsidR="000F44B2" w:rsidRPr="005F18CC" w:rsidRDefault="00EB7FEB" w:rsidP="000F44B2">
      <w:pPr>
        <w:pStyle w:val="Ttulo3"/>
        <w:spacing w:after="240"/>
        <w:rPr>
          <w:rFonts w:asciiTheme="minorHAnsi" w:hAnsiTheme="minorHAnsi" w:cstheme="minorHAnsi"/>
        </w:rPr>
      </w:pPr>
      <w:bookmarkStart w:id="84" w:name="_Toc55491782"/>
      <w:r>
        <w:rPr>
          <w:rFonts w:asciiTheme="minorHAnsi" w:hAnsiTheme="minorHAnsi" w:cstheme="minorHAnsi"/>
        </w:rPr>
        <w:t>3.4</w:t>
      </w:r>
      <w:r w:rsidR="000F44B2" w:rsidRPr="005F18CC">
        <w:rPr>
          <w:rFonts w:asciiTheme="minorHAnsi" w:hAnsiTheme="minorHAnsi" w:cstheme="minorHAnsi"/>
        </w:rPr>
        <w:t>. Deuda no Avalada</w:t>
      </w:r>
      <w:bookmarkEnd w:id="82"/>
      <w:bookmarkEnd w:id="84"/>
    </w:p>
    <w:p w:rsidR="007E5E19" w:rsidRPr="00887D71" w:rsidRDefault="007F0A36" w:rsidP="007E5E19">
      <w:pPr>
        <w:spacing w:after="0"/>
        <w:rPr>
          <w:szCs w:val="24"/>
        </w:rPr>
      </w:pPr>
      <w:bookmarkStart w:id="85" w:name="_Toc521935722"/>
      <w:r w:rsidRPr="00887D71">
        <w:rPr>
          <w:szCs w:val="24"/>
        </w:rPr>
        <w:t>La deuda no avalada</w:t>
      </w:r>
      <w:r>
        <w:rPr>
          <w:szCs w:val="24"/>
        </w:rPr>
        <w:t xml:space="preserve"> </w:t>
      </w:r>
      <w:r w:rsidRPr="00887D71">
        <w:rPr>
          <w:szCs w:val="24"/>
        </w:rPr>
        <w:t>arrojó al 30 de septiembre de 2020 un saldo de 1,461.08 millones de pesos, reflejando una disminución porcentual en términos reales de 12.50% respecto al saldo del mismo mes del año 2019;</w:t>
      </w:r>
      <w:r>
        <w:rPr>
          <w:szCs w:val="24"/>
        </w:rPr>
        <w:t xml:space="preserve"> </w:t>
      </w:r>
      <w:r w:rsidRPr="00887D71">
        <w:rPr>
          <w:szCs w:val="24"/>
        </w:rPr>
        <w:t>está</w:t>
      </w:r>
      <w:r>
        <w:rPr>
          <w:szCs w:val="24"/>
        </w:rPr>
        <w:t xml:space="preserve"> </w:t>
      </w:r>
      <w:r w:rsidRPr="00887D71">
        <w:rPr>
          <w:szCs w:val="24"/>
        </w:rPr>
        <w:t>compuesta</w:t>
      </w:r>
      <w:r>
        <w:rPr>
          <w:szCs w:val="24"/>
        </w:rPr>
        <w:t xml:space="preserve"> </w:t>
      </w:r>
      <w:r w:rsidRPr="00887D71">
        <w:rPr>
          <w:szCs w:val="24"/>
        </w:rPr>
        <w:t>con 27contratos de crédito, de los cuales 26 contratos están celebrados por ayuntamientos, con un saldo de 1,252.30 millones de pesos, y un</w:t>
      </w:r>
      <w:r>
        <w:rPr>
          <w:szCs w:val="24"/>
        </w:rPr>
        <w:t xml:space="preserve"> </w:t>
      </w:r>
      <w:r w:rsidRPr="00887D71">
        <w:rPr>
          <w:szCs w:val="24"/>
        </w:rPr>
        <w:t>contrato celebrado por</w:t>
      </w:r>
      <w:r>
        <w:rPr>
          <w:szCs w:val="24"/>
        </w:rPr>
        <w:t xml:space="preserve"> </w:t>
      </w:r>
      <w:r w:rsidRPr="00887D71">
        <w:rPr>
          <w:szCs w:val="24"/>
        </w:rPr>
        <w:t>un organismo municipal, con un saldo de 208.78 millones de pesos.</w:t>
      </w:r>
    </w:p>
    <w:p w:rsidR="000F44B2" w:rsidRPr="008F407A" w:rsidRDefault="00EB7FEB" w:rsidP="000F44B2">
      <w:pPr>
        <w:pStyle w:val="Ttulo3"/>
        <w:spacing w:after="240"/>
        <w:rPr>
          <w:rFonts w:asciiTheme="minorHAnsi" w:hAnsiTheme="minorHAnsi" w:cstheme="minorHAnsi"/>
          <w:b w:val="0"/>
        </w:rPr>
      </w:pPr>
      <w:bookmarkStart w:id="86" w:name="_Toc55491783"/>
      <w:r>
        <w:rPr>
          <w:rFonts w:asciiTheme="minorHAnsi" w:hAnsiTheme="minorHAnsi" w:cstheme="minorHAnsi"/>
        </w:rPr>
        <w:t>3.5</w:t>
      </w:r>
      <w:r w:rsidR="000F44B2" w:rsidRPr="008F407A">
        <w:rPr>
          <w:rFonts w:asciiTheme="minorHAnsi" w:hAnsiTheme="minorHAnsi" w:cstheme="minorHAnsi"/>
        </w:rPr>
        <w:t>. Costo Financiero de la Deuda Estatal Directa</w:t>
      </w:r>
      <w:bookmarkEnd w:id="85"/>
      <w:bookmarkEnd w:id="86"/>
    </w:p>
    <w:p w:rsidR="007E5E19" w:rsidRPr="001E3CA5" w:rsidRDefault="007E5E19" w:rsidP="007E5E19">
      <w:pPr>
        <w:spacing w:after="0"/>
        <w:rPr>
          <w:szCs w:val="24"/>
        </w:rPr>
      </w:pPr>
      <w:bookmarkStart w:id="87" w:name="_Hlk529360017"/>
      <w:r w:rsidRPr="001E3CA5">
        <w:rPr>
          <w:szCs w:val="24"/>
        </w:rPr>
        <w:t>El pago del servicio de la deuda directa de enero a</w:t>
      </w:r>
      <w:r>
        <w:rPr>
          <w:szCs w:val="24"/>
        </w:rPr>
        <w:t xml:space="preserve"> </w:t>
      </w:r>
      <w:r w:rsidRPr="001E3CA5">
        <w:rPr>
          <w:szCs w:val="24"/>
        </w:rPr>
        <w:t>septiembre</w:t>
      </w:r>
      <w:r>
        <w:rPr>
          <w:szCs w:val="24"/>
        </w:rPr>
        <w:t xml:space="preserve"> </w:t>
      </w:r>
      <w:r w:rsidRPr="001E3CA5">
        <w:rPr>
          <w:szCs w:val="24"/>
        </w:rPr>
        <w:t>de 2020 fue de 398.81 millones de pesos, representando una variación real negativa</w:t>
      </w:r>
      <w:r>
        <w:rPr>
          <w:szCs w:val="24"/>
        </w:rPr>
        <w:t xml:space="preserve"> </w:t>
      </w:r>
      <w:r w:rsidRPr="001E3CA5">
        <w:rPr>
          <w:szCs w:val="24"/>
        </w:rPr>
        <w:t xml:space="preserve">de 12.17% respecto a lo pagado en el mismo periodo del año inmediato anterior. </w:t>
      </w:r>
    </w:p>
    <w:p w:rsidR="007E5E19" w:rsidRPr="001E3CA5" w:rsidRDefault="007E5E19" w:rsidP="007E5E19">
      <w:pPr>
        <w:spacing w:after="0"/>
        <w:rPr>
          <w:sz w:val="16"/>
          <w:szCs w:val="16"/>
        </w:rPr>
      </w:pPr>
    </w:p>
    <w:p w:rsidR="007E5E19" w:rsidRPr="001E3CA5" w:rsidRDefault="007E5E19" w:rsidP="007E5E19">
      <w:pPr>
        <w:spacing w:after="240"/>
        <w:rPr>
          <w:szCs w:val="24"/>
        </w:rPr>
      </w:pPr>
      <w:r w:rsidRPr="001E3CA5">
        <w:rPr>
          <w:szCs w:val="24"/>
        </w:rPr>
        <w:t>Se compone de 147.20millones de</w:t>
      </w:r>
      <w:r>
        <w:rPr>
          <w:szCs w:val="24"/>
        </w:rPr>
        <w:t xml:space="preserve"> </w:t>
      </w:r>
      <w:r w:rsidRPr="001E3CA5">
        <w:rPr>
          <w:szCs w:val="24"/>
        </w:rPr>
        <w:t xml:space="preserve">pesos de pago a capital, y 251.61 millones de pesos de pago a intereses. </w:t>
      </w:r>
    </w:p>
    <w:tbl>
      <w:tblPr>
        <w:tblW w:w="7887" w:type="dxa"/>
        <w:jc w:val="center"/>
        <w:tblLayout w:type="fixed"/>
        <w:tblCellMar>
          <w:left w:w="70" w:type="dxa"/>
          <w:right w:w="70" w:type="dxa"/>
        </w:tblCellMar>
        <w:tblLook w:val="04A0" w:firstRow="1" w:lastRow="0" w:firstColumn="1" w:lastColumn="0" w:noHBand="0" w:noVBand="1"/>
      </w:tblPr>
      <w:tblGrid>
        <w:gridCol w:w="2016"/>
        <w:gridCol w:w="1467"/>
        <w:gridCol w:w="1468"/>
        <w:gridCol w:w="1468"/>
        <w:gridCol w:w="1468"/>
      </w:tblGrid>
      <w:tr w:rsidR="007E5E19" w:rsidRPr="007E5E19" w:rsidTr="002B2D8D">
        <w:trPr>
          <w:trHeight w:val="315"/>
          <w:jc w:val="center"/>
        </w:trPr>
        <w:tc>
          <w:tcPr>
            <w:tcW w:w="7887" w:type="dxa"/>
            <w:gridSpan w:val="5"/>
            <w:tcBorders>
              <w:top w:val="nil"/>
              <w:left w:val="nil"/>
              <w:bottom w:val="single" w:sz="4" w:space="0" w:color="auto"/>
              <w:right w:val="nil"/>
            </w:tcBorders>
            <w:shd w:val="clear" w:color="auto" w:fill="auto"/>
            <w:noWrap/>
            <w:vAlign w:val="center"/>
            <w:hideMark/>
          </w:tcPr>
          <w:bookmarkEnd w:id="87"/>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PAGO DE INTERESES Y CAPITAL DEUDA DIRECTA</w:t>
            </w:r>
          </w:p>
          <w:p w:rsidR="007E5E19" w:rsidRPr="007E5E19" w:rsidRDefault="007E5E19" w:rsidP="002B2D8D">
            <w:pPr>
              <w:spacing w:after="80" w:line="240" w:lineRule="auto"/>
              <w:jc w:val="center"/>
              <w:rPr>
                <w:rFonts w:eastAsia="Times New Roman" w:cs="Calibri"/>
                <w:b/>
                <w:bCs/>
                <w:color w:val="000000"/>
                <w:sz w:val="20"/>
                <w:szCs w:val="20"/>
              </w:rPr>
            </w:pPr>
            <w:r w:rsidRPr="007E5E19">
              <w:rPr>
                <w:rFonts w:eastAsia="Times New Roman" w:cs="Calibri"/>
                <w:b/>
                <w:bCs/>
                <w:color w:val="000000"/>
                <w:sz w:val="20"/>
                <w:szCs w:val="20"/>
              </w:rPr>
              <w:t>(MILLONES DE PESOS)</w:t>
            </w:r>
          </w:p>
        </w:tc>
      </w:tr>
      <w:tr w:rsidR="007E5E19" w:rsidRPr="007E5E19" w:rsidTr="002B2D8D">
        <w:trPr>
          <w:trHeight w:val="340"/>
          <w:jc w:val="center"/>
        </w:trPr>
        <w:tc>
          <w:tcPr>
            <w:tcW w:w="2016"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CONCEPTO</w:t>
            </w:r>
          </w:p>
        </w:tc>
        <w:tc>
          <w:tcPr>
            <w:tcW w:w="293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ENERO- SEPTIEMBRE</w:t>
            </w:r>
          </w:p>
        </w:tc>
        <w:tc>
          <w:tcPr>
            <w:tcW w:w="2936" w:type="dxa"/>
            <w:gridSpan w:val="2"/>
            <w:tcBorders>
              <w:top w:val="single" w:sz="4" w:space="0" w:color="auto"/>
              <w:left w:val="single" w:sz="4" w:space="0" w:color="FFFFFF" w:themeColor="background1"/>
              <w:bottom w:val="single" w:sz="4" w:space="0" w:color="FFFFFF" w:themeColor="background1"/>
              <w:right w:val="single" w:sz="4" w:space="0" w:color="000000"/>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VARIACIÓN</w:t>
            </w:r>
          </w:p>
        </w:tc>
      </w:tr>
      <w:tr w:rsidR="007E5E19" w:rsidRPr="007E5E19" w:rsidTr="002B2D8D">
        <w:trPr>
          <w:trHeight w:val="340"/>
          <w:jc w:val="center"/>
        </w:trPr>
        <w:tc>
          <w:tcPr>
            <w:tcW w:w="2016" w:type="dxa"/>
            <w:vMerge/>
            <w:tcBorders>
              <w:top w:val="single" w:sz="4" w:space="0" w:color="FFFFFF" w:themeColor="background1"/>
              <w:left w:val="single" w:sz="4" w:space="0" w:color="auto"/>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2019</w:t>
            </w:r>
          </w:p>
        </w:tc>
        <w:tc>
          <w:tcPr>
            <w:tcW w:w="14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 xml:space="preserve">2020 </w:t>
            </w:r>
            <w:r w:rsidRPr="007E5E19">
              <w:rPr>
                <w:rFonts w:eastAsia="Times New Roman" w:cs="Calibri"/>
                <w:b/>
                <w:bCs/>
                <w:color w:val="FFFFFF"/>
                <w:sz w:val="20"/>
                <w:szCs w:val="20"/>
                <w:vertAlign w:val="superscript"/>
              </w:rPr>
              <w:t>1/</w:t>
            </w:r>
          </w:p>
        </w:tc>
        <w:tc>
          <w:tcPr>
            <w:tcW w:w="14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ABSOLUTA</w:t>
            </w:r>
          </w:p>
        </w:tc>
        <w:tc>
          <w:tcPr>
            <w:tcW w:w="1468"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noWrap/>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REAL</w:t>
            </w:r>
          </w:p>
        </w:tc>
      </w:tr>
      <w:tr w:rsidR="007E5E19" w:rsidRPr="007E5E19" w:rsidTr="002B2D8D">
        <w:trPr>
          <w:trHeight w:val="340"/>
          <w:jc w:val="center"/>
        </w:trPr>
        <w:tc>
          <w:tcPr>
            <w:tcW w:w="2016" w:type="dxa"/>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left="113"/>
              <w:rPr>
                <w:rFonts w:eastAsia="Times New Roman" w:cs="Calibri"/>
                <w:b/>
                <w:bCs/>
                <w:color w:val="000000"/>
                <w:sz w:val="20"/>
                <w:szCs w:val="20"/>
              </w:rPr>
            </w:pPr>
            <w:r w:rsidRPr="007E5E19">
              <w:rPr>
                <w:rFonts w:eastAsia="Times New Roman" w:cs="Calibri"/>
                <w:b/>
                <w:bCs/>
                <w:color w:val="000000"/>
                <w:sz w:val="20"/>
                <w:szCs w:val="20"/>
              </w:rPr>
              <w:t>TOTAL</w:t>
            </w:r>
          </w:p>
        </w:tc>
        <w:tc>
          <w:tcPr>
            <w:tcW w:w="1467" w:type="dxa"/>
            <w:tcBorders>
              <w:top w:val="nil"/>
              <w:left w:val="nil"/>
              <w:bottom w:val="nil"/>
              <w:right w:val="nil"/>
            </w:tcBorders>
            <w:shd w:val="clear" w:color="000000" w:fill="FFFFFF"/>
            <w:noWrap/>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436.54</w:t>
            </w:r>
          </w:p>
        </w:tc>
        <w:tc>
          <w:tcPr>
            <w:tcW w:w="1468" w:type="dxa"/>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398.81</w:t>
            </w:r>
          </w:p>
        </w:tc>
        <w:tc>
          <w:tcPr>
            <w:tcW w:w="1468" w:type="dxa"/>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-37.72</w:t>
            </w:r>
          </w:p>
        </w:tc>
        <w:tc>
          <w:tcPr>
            <w:tcW w:w="1468" w:type="dxa"/>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-12.17%</w:t>
            </w:r>
          </w:p>
        </w:tc>
      </w:tr>
      <w:tr w:rsidR="007E5E19" w:rsidRPr="007E5E19" w:rsidTr="002B2D8D">
        <w:trPr>
          <w:trHeight w:val="340"/>
          <w:jc w:val="center"/>
        </w:trPr>
        <w:tc>
          <w:tcPr>
            <w:tcW w:w="2016" w:type="dxa"/>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ind w:left="113"/>
              <w:rPr>
                <w:rFonts w:eastAsia="Times New Roman" w:cs="Calibri"/>
                <w:sz w:val="20"/>
                <w:szCs w:val="20"/>
              </w:rPr>
            </w:pPr>
            <w:r w:rsidRPr="007E5E19">
              <w:rPr>
                <w:rFonts w:eastAsia="Times New Roman" w:cs="Calibri"/>
                <w:sz w:val="20"/>
                <w:szCs w:val="20"/>
              </w:rPr>
              <w:t>INTERESES</w:t>
            </w:r>
          </w:p>
        </w:tc>
        <w:tc>
          <w:tcPr>
            <w:tcW w:w="1467" w:type="dxa"/>
            <w:tcBorders>
              <w:top w:val="nil"/>
              <w:left w:val="nil"/>
              <w:bottom w:val="nil"/>
              <w:right w:val="nil"/>
            </w:tcBorders>
            <w:shd w:val="clear" w:color="000000" w:fill="FFFFFF"/>
            <w:noWrap/>
            <w:vAlign w:val="center"/>
            <w:hideMark/>
          </w:tcPr>
          <w:p w:rsidR="007E5E19" w:rsidRPr="007E5E19" w:rsidRDefault="007E5E19" w:rsidP="002B2D8D">
            <w:pPr>
              <w:spacing w:after="0" w:line="240" w:lineRule="auto"/>
              <w:jc w:val="center"/>
              <w:rPr>
                <w:rFonts w:eastAsia="Times New Roman" w:cs="Calibri"/>
                <w:color w:val="000000"/>
                <w:sz w:val="20"/>
                <w:szCs w:val="20"/>
              </w:rPr>
            </w:pPr>
            <w:r w:rsidRPr="007E5E19">
              <w:rPr>
                <w:rFonts w:eastAsia="Times New Roman" w:cs="Calibri"/>
                <w:color w:val="000000"/>
                <w:sz w:val="20"/>
                <w:szCs w:val="20"/>
              </w:rPr>
              <w:t>331.57</w:t>
            </w:r>
          </w:p>
        </w:tc>
        <w:tc>
          <w:tcPr>
            <w:tcW w:w="1468" w:type="dxa"/>
            <w:tcBorders>
              <w:top w:val="nil"/>
              <w:left w:val="single" w:sz="4" w:space="0" w:color="auto"/>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color w:val="000000"/>
                <w:sz w:val="20"/>
                <w:szCs w:val="20"/>
              </w:rPr>
            </w:pPr>
            <w:r w:rsidRPr="007E5E19">
              <w:rPr>
                <w:rFonts w:eastAsia="Times New Roman" w:cs="Calibri"/>
                <w:color w:val="000000"/>
                <w:sz w:val="20"/>
                <w:szCs w:val="20"/>
              </w:rPr>
              <w:t>251.61</w:t>
            </w:r>
          </w:p>
        </w:tc>
        <w:tc>
          <w:tcPr>
            <w:tcW w:w="1468" w:type="dxa"/>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-79.96</w:t>
            </w:r>
          </w:p>
        </w:tc>
        <w:tc>
          <w:tcPr>
            <w:tcW w:w="1468" w:type="dxa"/>
            <w:tcBorders>
              <w:top w:val="nil"/>
              <w:left w:val="nil"/>
              <w:bottom w:val="nil"/>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-27.04%</w:t>
            </w:r>
          </w:p>
        </w:tc>
      </w:tr>
      <w:tr w:rsidR="007E5E19" w:rsidRPr="007E5E19" w:rsidTr="002B2D8D">
        <w:trPr>
          <w:trHeight w:val="340"/>
          <w:jc w:val="center"/>
        </w:trPr>
        <w:tc>
          <w:tcPr>
            <w:tcW w:w="2016" w:type="dxa"/>
            <w:tcBorders>
              <w:top w:val="nil"/>
              <w:left w:val="single" w:sz="4" w:space="0" w:color="auto"/>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ind w:left="113"/>
              <w:rPr>
                <w:rFonts w:eastAsia="Times New Roman" w:cs="Calibri"/>
                <w:sz w:val="20"/>
                <w:szCs w:val="20"/>
              </w:rPr>
            </w:pPr>
            <w:r w:rsidRPr="007E5E19">
              <w:rPr>
                <w:rFonts w:eastAsia="Times New Roman" w:cs="Calibri"/>
                <w:sz w:val="20"/>
                <w:szCs w:val="20"/>
              </w:rPr>
              <w:t>CAPITAL</w:t>
            </w:r>
          </w:p>
        </w:tc>
        <w:tc>
          <w:tcPr>
            <w:tcW w:w="1467" w:type="dxa"/>
            <w:tcBorders>
              <w:top w:val="nil"/>
              <w:left w:val="nil"/>
              <w:bottom w:val="single" w:sz="4" w:space="0" w:color="auto"/>
              <w:right w:val="nil"/>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104.96</w:t>
            </w:r>
          </w:p>
        </w:tc>
        <w:tc>
          <w:tcPr>
            <w:tcW w:w="1468" w:type="dxa"/>
            <w:tcBorders>
              <w:top w:val="nil"/>
              <w:left w:val="single" w:sz="4" w:space="0" w:color="auto"/>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147.20</w:t>
            </w:r>
          </w:p>
        </w:tc>
        <w:tc>
          <w:tcPr>
            <w:tcW w:w="1468" w:type="dxa"/>
            <w:tcBorders>
              <w:top w:val="nil"/>
              <w:left w:val="nil"/>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42.24</w:t>
            </w:r>
          </w:p>
        </w:tc>
        <w:tc>
          <w:tcPr>
            <w:tcW w:w="1468" w:type="dxa"/>
            <w:tcBorders>
              <w:top w:val="nil"/>
              <w:left w:val="nil"/>
              <w:bottom w:val="single" w:sz="4" w:space="0" w:color="auto"/>
              <w:right w:val="single" w:sz="4" w:space="0" w:color="auto"/>
            </w:tcBorders>
            <w:shd w:val="clear" w:color="000000" w:fill="FFFFFF"/>
            <w:noWrap/>
            <w:vAlign w:val="center"/>
            <w:hideMark/>
          </w:tcPr>
          <w:p w:rsidR="007E5E19" w:rsidRPr="007E5E19" w:rsidRDefault="007E5E19" w:rsidP="002B2D8D">
            <w:pPr>
              <w:spacing w:after="0" w:line="240" w:lineRule="auto"/>
              <w:jc w:val="center"/>
              <w:rPr>
                <w:rFonts w:eastAsia="Times New Roman" w:cs="Calibri"/>
                <w:sz w:val="20"/>
                <w:szCs w:val="20"/>
              </w:rPr>
            </w:pPr>
            <w:r w:rsidRPr="007E5E19">
              <w:rPr>
                <w:rFonts w:eastAsia="Times New Roman" w:cs="Calibri"/>
                <w:sz w:val="20"/>
                <w:szCs w:val="20"/>
              </w:rPr>
              <w:t>34.83%</w:t>
            </w:r>
          </w:p>
        </w:tc>
      </w:tr>
    </w:tbl>
    <w:p w:rsidR="007E5E19" w:rsidRPr="00C038D1" w:rsidRDefault="007E5E19" w:rsidP="007E5E19">
      <w:pPr>
        <w:spacing w:before="80" w:after="0" w:line="240" w:lineRule="auto"/>
        <w:ind w:left="709"/>
        <w:rPr>
          <w:sz w:val="18"/>
          <w:szCs w:val="18"/>
        </w:rPr>
      </w:pPr>
      <w:r w:rsidRPr="00C038D1">
        <w:rPr>
          <w:rFonts w:eastAsia="Times New Roman"/>
          <w:color w:val="000000"/>
          <w:sz w:val="18"/>
          <w:szCs w:val="18"/>
        </w:rPr>
        <w:t>Fuente: Dirección de Financiamiento y Fideicomisos</w:t>
      </w:r>
    </w:p>
    <w:p w:rsidR="007E5E19" w:rsidRPr="00C038D1" w:rsidRDefault="007E5E19" w:rsidP="007E5E19">
      <w:pPr>
        <w:spacing w:after="0" w:line="240" w:lineRule="auto"/>
        <w:ind w:left="709"/>
        <w:rPr>
          <w:sz w:val="18"/>
          <w:szCs w:val="18"/>
        </w:rPr>
      </w:pPr>
      <w:r w:rsidRPr="00C038D1">
        <w:rPr>
          <w:sz w:val="18"/>
          <w:szCs w:val="18"/>
        </w:rPr>
        <w:t>Deflactor: Índice Nacional de Precios al Consumidor (Índice base segunda quincena de diciembre 2018=100)</w:t>
      </w:r>
    </w:p>
    <w:p w:rsidR="007E5E19" w:rsidRPr="00C038D1" w:rsidRDefault="007E5E19" w:rsidP="007E5E19">
      <w:pPr>
        <w:tabs>
          <w:tab w:val="left" w:pos="1843"/>
        </w:tabs>
        <w:spacing w:after="0" w:line="240" w:lineRule="auto"/>
        <w:ind w:left="1134" w:hanging="425"/>
        <w:rPr>
          <w:sz w:val="18"/>
          <w:szCs w:val="18"/>
        </w:rPr>
      </w:pPr>
      <w:r w:rsidRPr="00C038D1">
        <w:rPr>
          <w:sz w:val="18"/>
          <w:szCs w:val="18"/>
        </w:rPr>
        <w:t>1/ Cifras preliminares.</w:t>
      </w:r>
    </w:p>
    <w:p w:rsidR="007E5E19" w:rsidRPr="00031763" w:rsidRDefault="007E5E19" w:rsidP="007E5E19">
      <w:pPr>
        <w:spacing w:after="0"/>
        <w:rPr>
          <w:b/>
          <w:sz w:val="16"/>
          <w:szCs w:val="16"/>
        </w:rPr>
      </w:pPr>
    </w:p>
    <w:p w:rsidR="007E5E19" w:rsidRDefault="007E5E19">
      <w:pPr>
        <w:spacing w:after="0" w:line="240" w:lineRule="auto"/>
        <w:jc w:val="left"/>
        <w:rPr>
          <w:b/>
          <w:szCs w:val="24"/>
        </w:rPr>
      </w:pPr>
      <w:r>
        <w:rPr>
          <w:b/>
          <w:szCs w:val="24"/>
        </w:rPr>
        <w:br w:type="page"/>
      </w:r>
    </w:p>
    <w:p w:rsidR="007E5E19" w:rsidRDefault="007E5E19" w:rsidP="007E5E19">
      <w:pPr>
        <w:spacing w:after="0"/>
        <w:rPr>
          <w:b/>
          <w:szCs w:val="24"/>
        </w:rPr>
      </w:pPr>
    </w:p>
    <w:p w:rsidR="007E5E19" w:rsidRPr="007E5E19" w:rsidRDefault="007E5E19" w:rsidP="007E5E19">
      <w:pPr>
        <w:spacing w:after="0"/>
        <w:jc w:val="center"/>
        <w:rPr>
          <w:b/>
          <w:sz w:val="20"/>
          <w:szCs w:val="20"/>
        </w:rPr>
      </w:pPr>
      <w:r w:rsidRPr="007E5E19">
        <w:rPr>
          <w:b/>
          <w:sz w:val="20"/>
          <w:szCs w:val="20"/>
        </w:rPr>
        <w:t>PERFIL DE VENCIMIENTO DE LA DEUDA DE LARGO PLAZOAL 30 DE JUNIO DE 2020</w:t>
      </w:r>
    </w:p>
    <w:p w:rsidR="007E5E19" w:rsidRPr="007E5E19" w:rsidRDefault="007E5E19" w:rsidP="007E5E19">
      <w:pPr>
        <w:spacing w:after="0"/>
        <w:rPr>
          <w:b/>
          <w:sz w:val="20"/>
          <w:szCs w:val="20"/>
        </w:rPr>
      </w:pPr>
    </w:p>
    <w:tbl>
      <w:tblPr>
        <w:tblW w:w="9111" w:type="dxa"/>
        <w:jc w:val="center"/>
        <w:tblCellMar>
          <w:left w:w="70" w:type="dxa"/>
          <w:right w:w="70" w:type="dxa"/>
        </w:tblCellMar>
        <w:tblLook w:val="04A0" w:firstRow="1" w:lastRow="0" w:firstColumn="1" w:lastColumn="0" w:noHBand="0" w:noVBand="1"/>
      </w:tblPr>
      <w:tblGrid>
        <w:gridCol w:w="988"/>
        <w:gridCol w:w="2127"/>
        <w:gridCol w:w="1342"/>
        <w:gridCol w:w="1634"/>
        <w:gridCol w:w="1701"/>
        <w:gridCol w:w="1319"/>
      </w:tblGrid>
      <w:tr w:rsidR="007E5E19" w:rsidRPr="007E5E19" w:rsidTr="002B2D8D">
        <w:trPr>
          <w:trHeight w:val="277"/>
          <w:jc w:val="center"/>
        </w:trPr>
        <w:tc>
          <w:tcPr>
            <w:tcW w:w="9111"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POR CONTRATO</w:t>
            </w:r>
          </w:p>
        </w:tc>
      </w:tr>
      <w:tr w:rsidR="007E5E19" w:rsidRPr="007E5E19" w:rsidTr="002B2D8D">
        <w:trPr>
          <w:trHeight w:val="277"/>
          <w:jc w:val="center"/>
        </w:trPr>
        <w:tc>
          <w:tcPr>
            <w:tcW w:w="9111"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AL 30 DE SEPTIEMBRE DE 2020</w:t>
            </w:r>
          </w:p>
        </w:tc>
      </w:tr>
      <w:tr w:rsidR="007E5E19" w:rsidRPr="007E5E19" w:rsidTr="002B2D8D">
        <w:trPr>
          <w:trHeight w:val="277"/>
          <w:jc w:val="center"/>
        </w:trPr>
        <w:tc>
          <w:tcPr>
            <w:tcW w:w="9111"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(MILLONES DE PESOS)</w:t>
            </w:r>
          </w:p>
        </w:tc>
      </w:tr>
      <w:tr w:rsidR="007E5E19" w:rsidRPr="007E5E19" w:rsidTr="002B2D8D">
        <w:trPr>
          <w:trHeight w:val="471"/>
          <w:jc w:val="center"/>
        </w:trPr>
        <w:tc>
          <w:tcPr>
            <w:tcW w:w="98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AÑO</w:t>
            </w:r>
          </w:p>
        </w:tc>
        <w:tc>
          <w:tcPr>
            <w:tcW w:w="212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INSTITUCIÓN FINANCIERA</w:t>
            </w:r>
          </w:p>
        </w:tc>
        <w:tc>
          <w:tcPr>
            <w:tcW w:w="134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IMPORTE CONTRATADO</w:t>
            </w:r>
          </w:p>
        </w:tc>
        <w:tc>
          <w:tcPr>
            <w:tcW w:w="163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SALDO AL:                30/09/2020</w:t>
            </w:r>
          </w:p>
        </w:tc>
        <w:tc>
          <w:tcPr>
            <w:tcW w:w="3020" w:type="dxa"/>
            <w:gridSpan w:val="2"/>
            <w:tcBorders>
              <w:top w:val="nil"/>
              <w:left w:val="single" w:sz="4" w:space="0" w:color="FFFFFF" w:themeColor="background1"/>
              <w:bottom w:val="single" w:sz="4" w:space="0" w:color="FFFFFF" w:themeColor="background1"/>
              <w:right w:val="nil"/>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PERFIL DE VENCIMIENTO RESPECTO A:</w:t>
            </w:r>
          </w:p>
        </w:tc>
      </w:tr>
      <w:tr w:rsidR="007E5E19" w:rsidRPr="007E5E19" w:rsidTr="002B2D8D">
        <w:trPr>
          <w:trHeight w:val="471"/>
          <w:jc w:val="center"/>
        </w:trPr>
        <w:tc>
          <w:tcPr>
            <w:tcW w:w="988" w:type="dxa"/>
            <w:vMerge/>
            <w:tcBorders>
              <w:top w:val="single" w:sz="4" w:space="0" w:color="FFFFFF" w:themeColor="background1"/>
              <w:left w:val="single" w:sz="4" w:space="0" w:color="auto"/>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2127"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342"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634"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IMPORTE CONTRATADO</w:t>
            </w:r>
          </w:p>
        </w:tc>
        <w:tc>
          <w:tcPr>
            <w:tcW w:w="1319"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SALDO</w:t>
            </w:r>
          </w:p>
        </w:tc>
      </w:tr>
      <w:tr w:rsidR="007E5E19" w:rsidRPr="007E5E19" w:rsidTr="002B2D8D">
        <w:trPr>
          <w:trHeight w:val="340"/>
          <w:jc w:val="center"/>
        </w:trPr>
        <w:tc>
          <w:tcPr>
            <w:tcW w:w="988" w:type="dxa"/>
            <w:tcBorders>
              <w:top w:val="nil"/>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2025</w:t>
            </w:r>
          </w:p>
        </w:tc>
        <w:tc>
          <w:tcPr>
            <w:tcW w:w="2127"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125.00</w:t>
            </w:r>
          </w:p>
        </w:tc>
        <w:tc>
          <w:tcPr>
            <w:tcW w:w="163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44.65</w:t>
            </w:r>
          </w:p>
        </w:tc>
        <w:tc>
          <w:tcPr>
            <w:tcW w:w="1701"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2.16%</w:t>
            </w:r>
          </w:p>
        </w:tc>
        <w:tc>
          <w:tcPr>
            <w:tcW w:w="1319" w:type="dxa"/>
            <w:tcBorders>
              <w:top w:val="nil"/>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1.00%</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FFFFFF"/>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2025</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125.00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47.02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2.16%</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1.05%</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2031</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1,339.00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1,018.44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23.09%</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22.73%</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500.00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436.35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8.62%</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9.74%</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339.00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265.27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5.85%</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5.92%</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422.00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367.86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7.28%</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8.21%</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20331/</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de Desarrollo</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485.00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319.56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8.36%</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7.13%</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20341/</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de Desarrollo</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93.08</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62.24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1.61%</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1.39%</w:t>
            </w:r>
          </w:p>
        </w:tc>
      </w:tr>
      <w:tr w:rsidR="007E5E19" w:rsidRPr="007E5E19" w:rsidTr="002B2D8D">
        <w:trPr>
          <w:trHeight w:val="340"/>
          <w:jc w:val="center"/>
        </w:trPr>
        <w:tc>
          <w:tcPr>
            <w:tcW w:w="98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2036</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left="113"/>
              <w:rPr>
                <w:rFonts w:eastAsia="Times New Roman" w:cstheme="minorHAnsi"/>
                <w:sz w:val="20"/>
                <w:szCs w:val="20"/>
              </w:rPr>
            </w:pPr>
            <w:r w:rsidRPr="007E5E19">
              <w:rPr>
                <w:rFonts w:eastAsia="Times New Roman" w:cstheme="minorHAnsi"/>
                <w:sz w:val="20"/>
                <w:szCs w:val="20"/>
              </w:rPr>
              <w:t>Banca Comercial</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sz w:val="20"/>
                <w:szCs w:val="20"/>
              </w:rPr>
            </w:pPr>
            <w:r w:rsidRPr="007E5E19">
              <w:rPr>
                <w:rFonts w:eastAsia="Times New Roman" w:cstheme="minorHAnsi"/>
                <w:sz w:val="20"/>
                <w:szCs w:val="20"/>
              </w:rPr>
              <w:t>2,370.00</w:t>
            </w:r>
          </w:p>
        </w:tc>
        <w:tc>
          <w:tcPr>
            <w:tcW w:w="1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sz w:val="20"/>
                <w:szCs w:val="20"/>
              </w:rPr>
            </w:pPr>
            <w:r w:rsidRPr="007E5E19">
              <w:rPr>
                <w:rFonts w:eastAsia="Times New Roman" w:cstheme="minorHAnsi"/>
                <w:sz w:val="20"/>
                <w:szCs w:val="20"/>
              </w:rPr>
              <w:t>1,919.70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55"/>
              <w:jc w:val="right"/>
              <w:rPr>
                <w:rFonts w:eastAsia="Times New Roman" w:cstheme="minorHAnsi"/>
                <w:color w:val="000000"/>
                <w:sz w:val="20"/>
                <w:szCs w:val="20"/>
              </w:rPr>
            </w:pPr>
            <w:r w:rsidRPr="007E5E19">
              <w:rPr>
                <w:rFonts w:eastAsia="Times New Roman" w:cstheme="minorHAnsi"/>
                <w:color w:val="000000"/>
                <w:sz w:val="20"/>
                <w:szCs w:val="20"/>
              </w:rPr>
              <w:t>40.88%</w:t>
            </w:r>
          </w:p>
        </w:tc>
        <w:tc>
          <w:tcPr>
            <w:tcW w:w="131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256"/>
              <w:jc w:val="right"/>
              <w:rPr>
                <w:rFonts w:eastAsia="Times New Roman" w:cstheme="minorHAnsi"/>
                <w:color w:val="000000"/>
                <w:sz w:val="20"/>
                <w:szCs w:val="20"/>
              </w:rPr>
            </w:pPr>
            <w:r w:rsidRPr="007E5E19">
              <w:rPr>
                <w:rFonts w:eastAsia="Times New Roman" w:cstheme="minorHAnsi"/>
                <w:color w:val="000000"/>
                <w:sz w:val="20"/>
                <w:szCs w:val="20"/>
              </w:rPr>
              <w:t>42.84%</w:t>
            </w:r>
          </w:p>
        </w:tc>
      </w:tr>
      <w:tr w:rsidR="007E5E19" w:rsidRPr="007E5E19" w:rsidTr="002B2D8D">
        <w:trPr>
          <w:trHeight w:val="340"/>
          <w:jc w:val="center"/>
        </w:trPr>
        <w:tc>
          <w:tcPr>
            <w:tcW w:w="3115"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jc w:val="center"/>
              <w:rPr>
                <w:rFonts w:eastAsia="Times New Roman" w:cstheme="minorHAnsi"/>
                <w:b/>
                <w:bCs/>
                <w:sz w:val="20"/>
                <w:szCs w:val="20"/>
              </w:rPr>
            </w:pPr>
            <w:r w:rsidRPr="007E5E19">
              <w:rPr>
                <w:rFonts w:eastAsia="Times New Roman" w:cstheme="minorHAnsi"/>
                <w:b/>
                <w:bCs/>
                <w:sz w:val="20"/>
                <w:szCs w:val="20"/>
              </w:rPr>
              <w:t>TOTAL</w:t>
            </w:r>
          </w:p>
        </w:tc>
        <w:tc>
          <w:tcPr>
            <w:tcW w:w="13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296"/>
              <w:jc w:val="right"/>
              <w:rPr>
                <w:rFonts w:eastAsia="Times New Roman" w:cstheme="minorHAnsi"/>
                <w:b/>
                <w:sz w:val="20"/>
                <w:szCs w:val="20"/>
              </w:rPr>
            </w:pPr>
            <w:r w:rsidRPr="007E5E19">
              <w:rPr>
                <w:rFonts w:eastAsia="Times New Roman" w:cstheme="minorHAnsi"/>
                <w:b/>
                <w:sz w:val="20"/>
                <w:szCs w:val="20"/>
              </w:rPr>
              <w:t>5,798.08</w:t>
            </w:r>
          </w:p>
        </w:tc>
        <w:tc>
          <w:tcPr>
            <w:tcW w:w="16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b/>
                <w:sz w:val="20"/>
                <w:szCs w:val="20"/>
              </w:rPr>
            </w:pPr>
            <w:r w:rsidRPr="007E5E19">
              <w:rPr>
                <w:rFonts w:eastAsia="Times New Roman" w:cstheme="minorHAnsi"/>
                <w:b/>
                <w:sz w:val="20"/>
                <w:szCs w:val="20"/>
              </w:rPr>
              <w:t>4,481.09</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355"/>
              <w:jc w:val="right"/>
              <w:rPr>
                <w:rFonts w:eastAsia="Times New Roman" w:cstheme="minorHAnsi"/>
                <w:b/>
                <w:color w:val="000000"/>
                <w:sz w:val="20"/>
                <w:szCs w:val="20"/>
              </w:rPr>
            </w:pPr>
            <w:r w:rsidRPr="007E5E19">
              <w:rPr>
                <w:rFonts w:eastAsia="Times New Roman" w:cstheme="minorHAnsi"/>
                <w:b/>
                <w:color w:val="000000"/>
                <w:sz w:val="20"/>
                <w:szCs w:val="20"/>
              </w:rPr>
              <w:t>100.0%</w:t>
            </w:r>
          </w:p>
        </w:tc>
        <w:tc>
          <w:tcPr>
            <w:tcW w:w="131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rsidR="007E5E19" w:rsidRPr="007E5E19" w:rsidRDefault="007E5E19" w:rsidP="002B2D8D">
            <w:pPr>
              <w:spacing w:after="0" w:line="240" w:lineRule="auto"/>
              <w:ind w:right="256"/>
              <w:jc w:val="right"/>
              <w:rPr>
                <w:rFonts w:eastAsia="Times New Roman" w:cstheme="minorHAnsi"/>
                <w:b/>
                <w:color w:val="000000"/>
                <w:sz w:val="20"/>
                <w:szCs w:val="20"/>
              </w:rPr>
            </w:pPr>
            <w:r w:rsidRPr="007E5E19">
              <w:rPr>
                <w:rFonts w:eastAsia="Times New Roman" w:cstheme="minorHAnsi"/>
                <w:b/>
                <w:color w:val="000000"/>
                <w:sz w:val="20"/>
                <w:szCs w:val="20"/>
              </w:rPr>
              <w:t>100.0%</w:t>
            </w:r>
          </w:p>
        </w:tc>
      </w:tr>
      <w:tr w:rsidR="007E5E19" w:rsidRPr="00C038D1" w:rsidTr="002B2D8D">
        <w:trPr>
          <w:trHeight w:val="277"/>
          <w:jc w:val="center"/>
        </w:trPr>
        <w:tc>
          <w:tcPr>
            <w:tcW w:w="9111" w:type="dxa"/>
            <w:gridSpan w:val="6"/>
            <w:tcBorders>
              <w:top w:val="single" w:sz="4" w:space="0" w:color="auto"/>
              <w:left w:val="nil"/>
              <w:bottom w:val="nil"/>
              <w:right w:val="nil"/>
            </w:tcBorders>
            <w:shd w:val="clear" w:color="auto" w:fill="auto"/>
            <w:vAlign w:val="center"/>
            <w:hideMark/>
          </w:tcPr>
          <w:p w:rsidR="007E5E19" w:rsidRPr="00C038D1" w:rsidRDefault="007E5E19" w:rsidP="002B2D8D">
            <w:pPr>
              <w:spacing w:before="80" w:after="0" w:line="240" w:lineRule="auto"/>
              <w:rPr>
                <w:rFonts w:eastAsia="Times New Roman" w:cs="Calibri"/>
                <w:color w:val="000000"/>
                <w:sz w:val="18"/>
                <w:szCs w:val="18"/>
              </w:rPr>
            </w:pPr>
            <w:r w:rsidRPr="00C038D1">
              <w:rPr>
                <w:rFonts w:eastAsia="Times New Roman" w:cs="Calibri"/>
                <w:color w:val="000000"/>
                <w:sz w:val="18"/>
                <w:szCs w:val="18"/>
              </w:rPr>
              <w:t>Elaborado: Dirección de Financiamiento y Fideicomisos</w:t>
            </w:r>
          </w:p>
        </w:tc>
      </w:tr>
      <w:tr w:rsidR="007E5E19" w:rsidRPr="00C038D1" w:rsidTr="002B2D8D">
        <w:trPr>
          <w:trHeight w:val="374"/>
          <w:jc w:val="center"/>
        </w:trPr>
        <w:tc>
          <w:tcPr>
            <w:tcW w:w="9111" w:type="dxa"/>
            <w:gridSpan w:val="6"/>
            <w:tcBorders>
              <w:top w:val="nil"/>
              <w:left w:val="nil"/>
              <w:bottom w:val="nil"/>
              <w:right w:val="nil"/>
            </w:tcBorders>
            <w:shd w:val="clear" w:color="auto" w:fill="auto"/>
            <w:vAlign w:val="center"/>
            <w:hideMark/>
          </w:tcPr>
          <w:p w:rsidR="007E5E19" w:rsidRPr="00C038D1" w:rsidRDefault="007E5E19" w:rsidP="002B2D8D">
            <w:pPr>
              <w:spacing w:after="0" w:line="240" w:lineRule="auto"/>
              <w:rPr>
                <w:rFonts w:eastAsia="Times New Roman" w:cs="Calibri"/>
                <w:color w:val="000000"/>
                <w:sz w:val="18"/>
                <w:szCs w:val="18"/>
              </w:rPr>
            </w:pPr>
            <w:r w:rsidRPr="00C038D1">
              <w:rPr>
                <w:rFonts w:eastAsia="Times New Roman" w:cs="Calibri"/>
                <w:color w:val="000000"/>
                <w:sz w:val="18"/>
                <w:szCs w:val="18"/>
              </w:rPr>
              <w:t>1/  contratos de crédito simple celebrados con BANOBRAS en el año 2013,  provenientes del Programa de Financiamiento para la infraestructura y la Seguridad de los Estados (PROFISE); conocido como CUPON CERO.</w:t>
            </w:r>
          </w:p>
        </w:tc>
      </w:tr>
    </w:tbl>
    <w:p w:rsidR="007E5E19" w:rsidRDefault="007E5E19" w:rsidP="007E5E19">
      <w:pPr>
        <w:spacing w:after="0"/>
        <w:rPr>
          <w:rFonts w:eastAsia="Times New Roman"/>
          <w:color w:val="000000"/>
          <w:sz w:val="16"/>
          <w:szCs w:val="16"/>
        </w:rPr>
      </w:pPr>
    </w:p>
    <w:tbl>
      <w:tblPr>
        <w:tblW w:w="8779" w:type="dxa"/>
        <w:jc w:val="center"/>
        <w:tblCellMar>
          <w:left w:w="70" w:type="dxa"/>
          <w:right w:w="70" w:type="dxa"/>
        </w:tblCellMar>
        <w:tblLook w:val="04A0" w:firstRow="1" w:lastRow="0" w:firstColumn="1" w:lastColumn="0" w:noHBand="0" w:noVBand="1"/>
      </w:tblPr>
      <w:tblGrid>
        <w:gridCol w:w="822"/>
        <w:gridCol w:w="2139"/>
        <w:gridCol w:w="1328"/>
        <w:gridCol w:w="1273"/>
        <w:gridCol w:w="1607"/>
        <w:gridCol w:w="1610"/>
      </w:tblGrid>
      <w:tr w:rsidR="007E5E19" w:rsidRPr="007E5E19" w:rsidTr="002B2D8D">
        <w:trPr>
          <w:trHeight w:val="258"/>
          <w:jc w:val="center"/>
        </w:trPr>
        <w:tc>
          <w:tcPr>
            <w:tcW w:w="8779"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POR AÑO</w:t>
            </w:r>
          </w:p>
        </w:tc>
      </w:tr>
      <w:tr w:rsidR="007E5E19" w:rsidRPr="007E5E19" w:rsidTr="002B2D8D">
        <w:trPr>
          <w:trHeight w:val="258"/>
          <w:jc w:val="center"/>
        </w:trPr>
        <w:tc>
          <w:tcPr>
            <w:tcW w:w="8779"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AL 30 DE SEPTIEMBRE DE 2020</w:t>
            </w:r>
          </w:p>
        </w:tc>
      </w:tr>
      <w:tr w:rsidR="007E5E19" w:rsidRPr="007E5E19" w:rsidTr="002B2D8D">
        <w:trPr>
          <w:trHeight w:val="258"/>
          <w:jc w:val="center"/>
        </w:trPr>
        <w:tc>
          <w:tcPr>
            <w:tcW w:w="8779" w:type="dxa"/>
            <w:gridSpan w:val="6"/>
            <w:tcBorders>
              <w:top w:val="nil"/>
              <w:left w:val="nil"/>
              <w:bottom w:val="nil"/>
              <w:right w:val="nil"/>
            </w:tcBorders>
            <w:shd w:val="clear" w:color="000000" w:fill="FFFFFF"/>
            <w:vAlign w:val="center"/>
            <w:hideMark/>
          </w:tcPr>
          <w:p w:rsidR="007E5E19" w:rsidRPr="007E5E19" w:rsidRDefault="007E5E19" w:rsidP="002B2D8D">
            <w:pPr>
              <w:spacing w:after="0" w:line="240" w:lineRule="auto"/>
              <w:jc w:val="center"/>
              <w:rPr>
                <w:rFonts w:eastAsia="Times New Roman" w:cs="Calibri"/>
                <w:b/>
                <w:bCs/>
                <w:color w:val="000000"/>
                <w:sz w:val="20"/>
                <w:szCs w:val="20"/>
              </w:rPr>
            </w:pPr>
            <w:r w:rsidRPr="007E5E19">
              <w:rPr>
                <w:rFonts w:eastAsia="Times New Roman" w:cs="Calibri"/>
                <w:b/>
                <w:bCs/>
                <w:color w:val="000000"/>
                <w:sz w:val="20"/>
                <w:szCs w:val="20"/>
              </w:rPr>
              <w:t>(MILLONES DE PESOS)</w:t>
            </w:r>
          </w:p>
        </w:tc>
      </w:tr>
      <w:tr w:rsidR="007E5E19" w:rsidRPr="007E5E19" w:rsidTr="002B2D8D">
        <w:trPr>
          <w:trHeight w:val="258"/>
          <w:jc w:val="center"/>
        </w:trPr>
        <w:tc>
          <w:tcPr>
            <w:tcW w:w="822"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AÑO</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INSTITUCIÓN FINANCIERA</w:t>
            </w:r>
          </w:p>
        </w:tc>
        <w:tc>
          <w:tcPr>
            <w:tcW w:w="1013"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IMPORTE CONTRATADO</w:t>
            </w:r>
          </w:p>
        </w:tc>
        <w:tc>
          <w:tcPr>
            <w:tcW w:w="1317"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SALDO AL:                30/09/2020</w:t>
            </w:r>
          </w:p>
        </w:tc>
        <w:tc>
          <w:tcPr>
            <w:tcW w:w="3217" w:type="dxa"/>
            <w:gridSpan w:val="2"/>
            <w:tcBorders>
              <w:top w:val="nil"/>
              <w:left w:val="single" w:sz="4" w:space="0" w:color="FFFFFF" w:themeColor="background1"/>
              <w:bottom w:val="single" w:sz="4" w:space="0" w:color="FFFFFF" w:themeColor="background1"/>
              <w:right w:val="nil"/>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PERFIL DE VENCIMIENTO RESPECTO A:</w:t>
            </w:r>
          </w:p>
        </w:tc>
      </w:tr>
      <w:tr w:rsidR="007E5E19" w:rsidRPr="007E5E19" w:rsidTr="002B2D8D">
        <w:trPr>
          <w:trHeight w:val="440"/>
          <w:jc w:val="center"/>
        </w:trPr>
        <w:tc>
          <w:tcPr>
            <w:tcW w:w="822" w:type="dxa"/>
            <w:vMerge/>
            <w:tcBorders>
              <w:top w:val="single" w:sz="4" w:space="0" w:color="FFFFFF" w:themeColor="background1"/>
              <w:left w:val="single" w:sz="4" w:space="0" w:color="auto"/>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2410"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013"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317" w:type="dxa"/>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7E5E19" w:rsidRPr="007E5E19" w:rsidRDefault="007E5E19" w:rsidP="002B2D8D">
            <w:pPr>
              <w:spacing w:after="0" w:line="240" w:lineRule="auto"/>
              <w:rPr>
                <w:rFonts w:eastAsia="Times New Roman" w:cs="Calibri"/>
                <w:b/>
                <w:bCs/>
                <w:color w:val="FFFFFF"/>
                <w:sz w:val="20"/>
                <w:szCs w:val="20"/>
              </w:rPr>
            </w:pPr>
          </w:p>
        </w:tc>
        <w:tc>
          <w:tcPr>
            <w:tcW w:w="16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IMPORTE CONTRATADO</w:t>
            </w:r>
          </w:p>
        </w:tc>
        <w:tc>
          <w:tcPr>
            <w:tcW w:w="161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7E5E19" w:rsidRPr="007E5E19" w:rsidRDefault="007E5E19" w:rsidP="002B2D8D">
            <w:pPr>
              <w:spacing w:after="0" w:line="240" w:lineRule="auto"/>
              <w:jc w:val="center"/>
              <w:rPr>
                <w:rFonts w:eastAsia="Times New Roman" w:cs="Calibri"/>
                <w:b/>
                <w:bCs/>
                <w:color w:val="FFFFFF"/>
                <w:sz w:val="20"/>
                <w:szCs w:val="20"/>
              </w:rPr>
            </w:pPr>
            <w:r w:rsidRPr="007E5E19">
              <w:rPr>
                <w:rFonts w:eastAsia="Times New Roman" w:cs="Calibri"/>
                <w:b/>
                <w:bCs/>
                <w:color w:val="FFFFFF"/>
                <w:sz w:val="20"/>
                <w:szCs w:val="20"/>
              </w:rPr>
              <w:t>SALDO</w:t>
            </w:r>
          </w:p>
        </w:tc>
      </w:tr>
      <w:tr w:rsidR="007E5E19" w:rsidRPr="007E5E19" w:rsidTr="002B2D8D">
        <w:trPr>
          <w:trHeight w:val="340"/>
          <w:jc w:val="center"/>
        </w:trPr>
        <w:tc>
          <w:tcPr>
            <w:tcW w:w="822" w:type="dxa"/>
            <w:tcBorders>
              <w:top w:val="nil"/>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2025</w:t>
            </w:r>
          </w:p>
        </w:tc>
        <w:tc>
          <w:tcPr>
            <w:tcW w:w="241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Comercial</w:t>
            </w:r>
          </w:p>
        </w:tc>
        <w:tc>
          <w:tcPr>
            <w:tcW w:w="1013"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250.00</w:t>
            </w:r>
          </w:p>
        </w:tc>
        <w:tc>
          <w:tcPr>
            <w:tcW w:w="1317"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91.67</w:t>
            </w:r>
          </w:p>
        </w:tc>
        <w:tc>
          <w:tcPr>
            <w:tcW w:w="1607"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4.31%</w:t>
            </w:r>
          </w:p>
        </w:tc>
        <w:tc>
          <w:tcPr>
            <w:tcW w:w="1610" w:type="dxa"/>
            <w:tcBorders>
              <w:top w:val="nil"/>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2.05%</w:t>
            </w:r>
          </w:p>
        </w:tc>
      </w:tr>
      <w:tr w:rsidR="007E5E19" w:rsidRPr="007E5E19" w:rsidTr="002B2D8D">
        <w:trPr>
          <w:trHeight w:val="340"/>
          <w:jc w:val="center"/>
        </w:trPr>
        <w:tc>
          <w:tcPr>
            <w:tcW w:w="8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2031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Comercial</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1,339.00</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1,018.44</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23.09%</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22.73%</w:t>
            </w:r>
          </w:p>
        </w:tc>
      </w:tr>
      <w:tr w:rsidR="007E5E19" w:rsidRPr="007E5E19" w:rsidTr="002B2D8D">
        <w:trPr>
          <w:trHeight w:val="340"/>
          <w:jc w:val="center"/>
        </w:trPr>
        <w:tc>
          <w:tcPr>
            <w:tcW w:w="8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2032</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Comercial</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1,261.00</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1,069.48</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21.75%</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23.87%</w:t>
            </w:r>
          </w:p>
        </w:tc>
      </w:tr>
      <w:tr w:rsidR="007E5E19" w:rsidRPr="007E5E19" w:rsidTr="002B2D8D">
        <w:trPr>
          <w:trHeight w:val="340"/>
          <w:jc w:val="center"/>
        </w:trPr>
        <w:tc>
          <w:tcPr>
            <w:tcW w:w="8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2033</w:t>
            </w:r>
            <w:r w:rsidRPr="007E5E19">
              <w:rPr>
                <w:rFonts w:eastAsia="Times New Roman" w:cs="Calibri"/>
                <w:sz w:val="20"/>
                <w:szCs w:val="20"/>
                <w:vertAlign w:val="superscript"/>
              </w:rPr>
              <w:t>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de Desarrollo</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485.00</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319.56</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8.36%</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7.13%</w:t>
            </w:r>
          </w:p>
        </w:tc>
      </w:tr>
      <w:tr w:rsidR="007E5E19" w:rsidRPr="007E5E19" w:rsidTr="002B2D8D">
        <w:trPr>
          <w:trHeight w:val="340"/>
          <w:jc w:val="center"/>
        </w:trPr>
        <w:tc>
          <w:tcPr>
            <w:tcW w:w="8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2034</w:t>
            </w:r>
            <w:r w:rsidRPr="007E5E19">
              <w:rPr>
                <w:rFonts w:eastAsia="Times New Roman" w:cs="Calibri"/>
                <w:sz w:val="20"/>
                <w:szCs w:val="20"/>
                <w:vertAlign w:val="superscript"/>
              </w:rPr>
              <w:t>1/</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de Desarrollo</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93.08</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62.24</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1.61%</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1.39%</w:t>
            </w:r>
          </w:p>
        </w:tc>
      </w:tr>
      <w:tr w:rsidR="007E5E19" w:rsidRPr="007E5E19" w:rsidTr="002B2D8D">
        <w:trPr>
          <w:trHeight w:val="340"/>
          <w:jc w:val="center"/>
        </w:trPr>
        <w:tc>
          <w:tcPr>
            <w:tcW w:w="8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2036</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rPr>
                <w:rFonts w:eastAsia="Times New Roman" w:cs="Calibri"/>
                <w:sz w:val="20"/>
                <w:szCs w:val="20"/>
              </w:rPr>
            </w:pPr>
            <w:r w:rsidRPr="007E5E19">
              <w:rPr>
                <w:rFonts w:eastAsia="Times New Roman" w:cs="Calibri"/>
                <w:sz w:val="20"/>
                <w:szCs w:val="20"/>
              </w:rPr>
              <w:t>Banca Comercial</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sz w:val="20"/>
                <w:szCs w:val="20"/>
              </w:rPr>
            </w:pPr>
            <w:r w:rsidRPr="007E5E19">
              <w:rPr>
                <w:rFonts w:eastAsia="Times New Roman" w:cs="Calibri"/>
                <w:sz w:val="20"/>
                <w:szCs w:val="20"/>
              </w:rPr>
              <w:t>2,370.00</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sz w:val="20"/>
                <w:szCs w:val="20"/>
              </w:rPr>
            </w:pPr>
            <w:r w:rsidRPr="007E5E19">
              <w:rPr>
                <w:rFonts w:eastAsia="Times New Roman" w:cs="Calibri"/>
                <w:sz w:val="20"/>
                <w:szCs w:val="20"/>
              </w:rPr>
              <w:t>1,919.70</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7E5E19" w:rsidRPr="007E5E19" w:rsidRDefault="007E5E19" w:rsidP="002B2D8D">
            <w:pPr>
              <w:spacing w:after="0" w:line="240" w:lineRule="auto"/>
              <w:ind w:right="323"/>
              <w:jc w:val="right"/>
              <w:rPr>
                <w:rFonts w:eastAsia="Times New Roman" w:cs="Calibri"/>
                <w:color w:val="000000"/>
                <w:sz w:val="20"/>
                <w:szCs w:val="20"/>
              </w:rPr>
            </w:pPr>
            <w:r w:rsidRPr="007E5E19">
              <w:rPr>
                <w:rFonts w:eastAsia="Times New Roman" w:cs="Calibri"/>
                <w:color w:val="000000"/>
                <w:sz w:val="20"/>
                <w:szCs w:val="20"/>
              </w:rPr>
              <w:t>40.88%</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vAlign w:val="center"/>
            <w:hideMark/>
          </w:tcPr>
          <w:p w:rsidR="007E5E19" w:rsidRPr="007E5E19" w:rsidRDefault="007E5E19" w:rsidP="002B2D8D">
            <w:pPr>
              <w:spacing w:after="0" w:line="240" w:lineRule="auto"/>
              <w:ind w:right="374"/>
              <w:jc w:val="right"/>
              <w:rPr>
                <w:rFonts w:eastAsia="Times New Roman" w:cs="Calibri"/>
                <w:color w:val="000000"/>
                <w:sz w:val="20"/>
                <w:szCs w:val="20"/>
              </w:rPr>
            </w:pPr>
            <w:r w:rsidRPr="007E5E19">
              <w:rPr>
                <w:rFonts w:eastAsia="Times New Roman" w:cs="Calibri"/>
                <w:color w:val="000000"/>
                <w:sz w:val="20"/>
                <w:szCs w:val="20"/>
              </w:rPr>
              <w:t>42.84%</w:t>
            </w:r>
          </w:p>
        </w:tc>
      </w:tr>
      <w:tr w:rsidR="007E5E19" w:rsidRPr="007E5E19" w:rsidTr="002B2D8D">
        <w:trPr>
          <w:trHeight w:val="340"/>
          <w:jc w:val="center"/>
        </w:trPr>
        <w:tc>
          <w:tcPr>
            <w:tcW w:w="3232"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jc w:val="center"/>
              <w:rPr>
                <w:rFonts w:eastAsia="Times New Roman" w:cs="Calibri"/>
                <w:b/>
                <w:bCs/>
                <w:sz w:val="20"/>
                <w:szCs w:val="20"/>
              </w:rPr>
            </w:pPr>
            <w:r w:rsidRPr="007E5E19">
              <w:rPr>
                <w:rFonts w:eastAsia="Times New Roman" w:cs="Calibri"/>
                <w:b/>
                <w:bCs/>
                <w:sz w:val="20"/>
                <w:szCs w:val="20"/>
              </w:rPr>
              <w:t>TOTAL</w:t>
            </w:r>
          </w:p>
        </w:tc>
        <w:tc>
          <w:tcPr>
            <w:tcW w:w="10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127"/>
              <w:jc w:val="right"/>
              <w:rPr>
                <w:rFonts w:eastAsia="Times New Roman" w:cs="Calibri"/>
                <w:b/>
                <w:sz w:val="20"/>
                <w:szCs w:val="20"/>
              </w:rPr>
            </w:pPr>
            <w:r w:rsidRPr="007E5E19">
              <w:rPr>
                <w:rFonts w:eastAsia="Times New Roman" w:cs="Calibri"/>
                <w:b/>
                <w:sz w:val="20"/>
                <w:szCs w:val="20"/>
              </w:rPr>
              <w:t>5,798.08</w:t>
            </w:r>
          </w:p>
        </w:tc>
        <w:tc>
          <w:tcPr>
            <w:tcW w:w="13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134"/>
              <w:jc w:val="right"/>
              <w:rPr>
                <w:rFonts w:eastAsia="Times New Roman" w:cs="Calibri"/>
                <w:b/>
                <w:sz w:val="20"/>
                <w:szCs w:val="20"/>
              </w:rPr>
            </w:pPr>
            <w:r w:rsidRPr="007E5E19">
              <w:rPr>
                <w:rFonts w:eastAsia="Times New Roman" w:cs="Calibri"/>
                <w:b/>
                <w:sz w:val="20"/>
                <w:szCs w:val="20"/>
              </w:rPr>
              <w:t>4,481.09</w:t>
            </w:r>
          </w:p>
        </w:tc>
        <w:tc>
          <w:tcPr>
            <w:tcW w:w="160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rsidR="007E5E19" w:rsidRPr="007E5E19" w:rsidRDefault="007E5E19" w:rsidP="002B2D8D">
            <w:pPr>
              <w:spacing w:after="0" w:line="240" w:lineRule="auto"/>
              <w:ind w:right="323"/>
              <w:jc w:val="right"/>
              <w:rPr>
                <w:rFonts w:eastAsia="Times New Roman" w:cs="Calibri"/>
                <w:b/>
                <w:color w:val="000000"/>
                <w:sz w:val="20"/>
                <w:szCs w:val="20"/>
              </w:rPr>
            </w:pPr>
            <w:r w:rsidRPr="007E5E19">
              <w:rPr>
                <w:rFonts w:eastAsia="Times New Roman" w:cs="Calibri"/>
                <w:b/>
                <w:color w:val="000000"/>
                <w:sz w:val="20"/>
                <w:szCs w:val="20"/>
              </w:rPr>
              <w:t>100.0%</w:t>
            </w:r>
          </w:p>
        </w:tc>
        <w:tc>
          <w:tcPr>
            <w:tcW w:w="161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rsidR="007E5E19" w:rsidRPr="007E5E19" w:rsidRDefault="007E5E19" w:rsidP="002B2D8D">
            <w:pPr>
              <w:spacing w:after="0" w:line="240" w:lineRule="auto"/>
              <w:ind w:right="374"/>
              <w:jc w:val="right"/>
              <w:rPr>
                <w:rFonts w:eastAsia="Times New Roman" w:cs="Calibri"/>
                <w:b/>
                <w:color w:val="000000"/>
                <w:sz w:val="20"/>
                <w:szCs w:val="20"/>
              </w:rPr>
            </w:pPr>
            <w:r w:rsidRPr="007E5E19">
              <w:rPr>
                <w:rFonts w:eastAsia="Times New Roman" w:cs="Calibri"/>
                <w:b/>
                <w:color w:val="000000"/>
                <w:sz w:val="20"/>
                <w:szCs w:val="20"/>
              </w:rPr>
              <w:t>100.0%</w:t>
            </w:r>
          </w:p>
        </w:tc>
      </w:tr>
      <w:tr w:rsidR="007E5E19" w:rsidRPr="007E5E19" w:rsidTr="002B2D8D">
        <w:trPr>
          <w:trHeight w:val="258"/>
          <w:jc w:val="center"/>
        </w:trPr>
        <w:tc>
          <w:tcPr>
            <w:tcW w:w="8779" w:type="dxa"/>
            <w:gridSpan w:val="6"/>
            <w:tcBorders>
              <w:top w:val="single" w:sz="4" w:space="0" w:color="auto"/>
              <w:left w:val="nil"/>
              <w:bottom w:val="nil"/>
              <w:right w:val="nil"/>
            </w:tcBorders>
            <w:shd w:val="clear" w:color="auto" w:fill="auto"/>
            <w:vAlign w:val="center"/>
            <w:hideMark/>
          </w:tcPr>
          <w:p w:rsidR="007E5E19" w:rsidRPr="007E5E19" w:rsidRDefault="007E5E19" w:rsidP="002B2D8D">
            <w:pPr>
              <w:spacing w:after="0" w:line="240" w:lineRule="auto"/>
              <w:rPr>
                <w:rFonts w:eastAsia="Times New Roman" w:cs="Calibri"/>
                <w:color w:val="000000"/>
                <w:sz w:val="20"/>
                <w:szCs w:val="20"/>
              </w:rPr>
            </w:pPr>
            <w:r w:rsidRPr="007E5E19">
              <w:rPr>
                <w:rFonts w:eastAsia="Times New Roman" w:cs="Calibri"/>
                <w:color w:val="000000"/>
                <w:sz w:val="20"/>
                <w:szCs w:val="20"/>
              </w:rPr>
              <w:t>Elaborado: Dirección de Financiamiento y Fideicomisos</w:t>
            </w:r>
          </w:p>
        </w:tc>
      </w:tr>
      <w:tr w:rsidR="007E5E19" w:rsidRPr="007E5E19" w:rsidTr="002B2D8D">
        <w:trPr>
          <w:trHeight w:val="349"/>
          <w:jc w:val="center"/>
        </w:trPr>
        <w:tc>
          <w:tcPr>
            <w:tcW w:w="8779" w:type="dxa"/>
            <w:gridSpan w:val="6"/>
            <w:tcBorders>
              <w:top w:val="nil"/>
              <w:left w:val="nil"/>
              <w:bottom w:val="nil"/>
              <w:right w:val="nil"/>
            </w:tcBorders>
            <w:shd w:val="clear" w:color="auto" w:fill="auto"/>
            <w:vAlign w:val="center"/>
            <w:hideMark/>
          </w:tcPr>
          <w:p w:rsidR="007E5E19" w:rsidRPr="007E5E19" w:rsidRDefault="007E5E19" w:rsidP="002B2D8D">
            <w:pPr>
              <w:spacing w:after="240" w:line="240" w:lineRule="auto"/>
              <w:rPr>
                <w:rFonts w:eastAsia="Times New Roman" w:cs="Calibri"/>
                <w:color w:val="000000"/>
                <w:sz w:val="20"/>
                <w:szCs w:val="20"/>
              </w:rPr>
            </w:pPr>
            <w:r w:rsidRPr="007E5E19">
              <w:rPr>
                <w:rFonts w:eastAsia="Times New Roman" w:cs="Calibri"/>
                <w:color w:val="000000"/>
                <w:sz w:val="20"/>
                <w:szCs w:val="20"/>
              </w:rPr>
              <w:t>1/  contratos de crédito simple celebrados con BANOBRAS en el año 2013,  provenientes del Programa de Financiamiento para la infraestructura y la Seguridad de los Estados (PROFISE); conocido como CUPON CERO.</w:t>
            </w:r>
          </w:p>
        </w:tc>
      </w:tr>
    </w:tbl>
    <w:p w:rsidR="000F44B2" w:rsidRPr="005F18CC" w:rsidRDefault="000F44B2" w:rsidP="000F44B2">
      <w:pPr>
        <w:spacing w:after="0"/>
        <w:jc w:val="center"/>
        <w:rPr>
          <w:rFonts w:asciiTheme="minorHAnsi" w:hAnsiTheme="minorHAnsi" w:cstheme="minorHAnsi"/>
          <w:b/>
          <w:szCs w:val="24"/>
        </w:rPr>
      </w:pPr>
    </w:p>
    <w:p w:rsidR="000F44B2" w:rsidRPr="005F18CC" w:rsidRDefault="00063FBA" w:rsidP="000F44B2">
      <w:pPr>
        <w:pStyle w:val="Ttulo3"/>
        <w:rPr>
          <w:rFonts w:asciiTheme="minorHAnsi" w:hAnsiTheme="minorHAnsi" w:cstheme="minorHAnsi"/>
        </w:rPr>
      </w:pPr>
      <w:bookmarkStart w:id="88" w:name="_Toc521935723"/>
      <w:bookmarkStart w:id="89" w:name="_Toc55491784"/>
      <w:r>
        <w:rPr>
          <w:rFonts w:asciiTheme="minorHAnsi" w:hAnsiTheme="minorHAnsi" w:cstheme="minorHAnsi"/>
        </w:rPr>
        <w:lastRenderedPageBreak/>
        <w:t>3.6</w:t>
      </w:r>
      <w:r w:rsidR="000F44B2" w:rsidRPr="005F18CC">
        <w:rPr>
          <w:rFonts w:asciiTheme="minorHAnsi" w:hAnsiTheme="minorHAnsi" w:cstheme="minorHAnsi"/>
        </w:rPr>
        <w:t>. Obligaciones Financieras de Corto Plazo</w:t>
      </w:r>
      <w:bookmarkEnd w:id="88"/>
      <w:bookmarkEnd w:id="89"/>
    </w:p>
    <w:p w:rsidR="00063FBA" w:rsidRDefault="00063FBA" w:rsidP="00063FBA">
      <w:pPr>
        <w:spacing w:after="0"/>
        <w:rPr>
          <w:b/>
          <w:szCs w:val="24"/>
        </w:rPr>
      </w:pPr>
    </w:p>
    <w:p w:rsidR="002B2D8D" w:rsidRPr="0012682C" w:rsidRDefault="002B2D8D" w:rsidP="002B2D8D">
      <w:pPr>
        <w:spacing w:after="0"/>
        <w:rPr>
          <w:b/>
          <w:szCs w:val="24"/>
        </w:rPr>
      </w:pPr>
      <w:r w:rsidRPr="0012682C">
        <w:rPr>
          <w:b/>
          <w:szCs w:val="24"/>
        </w:rPr>
        <w:t>Celebradas en el 201</w:t>
      </w:r>
      <w:r>
        <w:rPr>
          <w:b/>
          <w:szCs w:val="24"/>
        </w:rPr>
        <w:t>9</w:t>
      </w:r>
      <w:r w:rsidRPr="0012682C">
        <w:rPr>
          <w:b/>
          <w:szCs w:val="24"/>
        </w:rPr>
        <w:t xml:space="preserve"> con vigencia a junio y</w:t>
      </w:r>
      <w:r>
        <w:rPr>
          <w:b/>
          <w:szCs w:val="24"/>
        </w:rPr>
        <w:t xml:space="preserve"> agosto </w:t>
      </w:r>
      <w:r w:rsidRPr="0012682C">
        <w:rPr>
          <w:b/>
          <w:szCs w:val="24"/>
        </w:rPr>
        <w:t>de 20</w:t>
      </w:r>
      <w:r>
        <w:rPr>
          <w:b/>
          <w:szCs w:val="24"/>
        </w:rPr>
        <w:t>20</w:t>
      </w:r>
      <w:r w:rsidRPr="0012682C">
        <w:rPr>
          <w:b/>
          <w:szCs w:val="24"/>
        </w:rPr>
        <w:t>.</w:t>
      </w:r>
    </w:p>
    <w:p w:rsidR="002B2D8D" w:rsidRPr="00BD3CF4" w:rsidRDefault="002B2D8D" w:rsidP="002B2D8D">
      <w:pPr>
        <w:spacing w:after="0"/>
        <w:ind w:firstLine="284"/>
        <w:rPr>
          <w:sz w:val="10"/>
          <w:szCs w:val="10"/>
        </w:rPr>
      </w:pPr>
    </w:p>
    <w:p w:rsidR="002B2D8D" w:rsidRDefault="002B2D8D" w:rsidP="002B2D8D">
      <w:pPr>
        <w:spacing w:after="0"/>
        <w:rPr>
          <w:szCs w:val="24"/>
        </w:rPr>
      </w:pPr>
      <w:r w:rsidRPr="0012682C">
        <w:rPr>
          <w:szCs w:val="24"/>
        </w:rPr>
        <w:t>En ju</w:t>
      </w:r>
      <w:r>
        <w:rPr>
          <w:szCs w:val="24"/>
        </w:rPr>
        <w:t>nio</w:t>
      </w:r>
      <w:r w:rsidRPr="0012682C">
        <w:rPr>
          <w:szCs w:val="24"/>
        </w:rPr>
        <w:t xml:space="preserve"> y </w:t>
      </w:r>
      <w:r>
        <w:rPr>
          <w:szCs w:val="24"/>
        </w:rPr>
        <w:t xml:space="preserve">agosto 2020vencieron </w:t>
      </w:r>
      <w:r w:rsidRPr="0012682C">
        <w:rPr>
          <w:szCs w:val="24"/>
        </w:rPr>
        <w:t>dos</w:t>
      </w:r>
      <w:r>
        <w:rPr>
          <w:szCs w:val="24"/>
        </w:rPr>
        <w:t xml:space="preserve"> </w:t>
      </w:r>
      <w:r w:rsidRPr="0012682C">
        <w:rPr>
          <w:szCs w:val="24"/>
        </w:rPr>
        <w:t>obligaciones financieras de corto plazo quirografarias</w:t>
      </w:r>
      <w:r>
        <w:rPr>
          <w:szCs w:val="24"/>
        </w:rPr>
        <w:t xml:space="preserve">, tipo </w:t>
      </w:r>
      <w:r w:rsidRPr="0012682C">
        <w:rPr>
          <w:szCs w:val="24"/>
        </w:rPr>
        <w:t>revolvente</w:t>
      </w:r>
      <w:r>
        <w:rPr>
          <w:szCs w:val="24"/>
        </w:rPr>
        <w:t>, por</w:t>
      </w:r>
      <w:r w:rsidRPr="0012682C">
        <w:rPr>
          <w:szCs w:val="24"/>
        </w:rPr>
        <w:t xml:space="preserve"> un monto contratado de 900 millones de pesos</w:t>
      </w:r>
      <w:r>
        <w:rPr>
          <w:szCs w:val="24"/>
        </w:rPr>
        <w:t xml:space="preserve">; debido a que son revolventes </w:t>
      </w:r>
      <w:r w:rsidRPr="0012682C">
        <w:rPr>
          <w:szCs w:val="24"/>
        </w:rPr>
        <w:t>las disposiciones pueden ser mayores al monto contratado</w:t>
      </w:r>
      <w:r>
        <w:rPr>
          <w:szCs w:val="24"/>
        </w:rPr>
        <w:t xml:space="preserve">. </w:t>
      </w:r>
    </w:p>
    <w:p w:rsidR="002B2D8D" w:rsidRPr="00863088" w:rsidRDefault="002B2D8D" w:rsidP="002B2D8D">
      <w:pPr>
        <w:spacing w:after="0"/>
        <w:rPr>
          <w:rFonts w:eastAsia="Times New Roman"/>
          <w:color w:val="000000"/>
          <w:sz w:val="16"/>
          <w:szCs w:val="16"/>
        </w:rPr>
      </w:pPr>
    </w:p>
    <w:p w:rsidR="002B2D8D" w:rsidRDefault="002B2D8D" w:rsidP="002B2D8D">
      <w:pPr>
        <w:spacing w:after="240"/>
        <w:rPr>
          <w:szCs w:val="24"/>
        </w:rPr>
      </w:pPr>
      <w:r>
        <w:rPr>
          <w:szCs w:val="24"/>
        </w:rPr>
        <w:t>Durante la vida de estos dos financiamientos se dispuso de 2,484.07 millones de pesos.</w:t>
      </w:r>
    </w:p>
    <w:tbl>
      <w:tblPr>
        <w:tblW w:w="5000" w:type="pct"/>
        <w:jc w:val="center"/>
        <w:tblCellMar>
          <w:left w:w="70" w:type="dxa"/>
          <w:right w:w="70" w:type="dxa"/>
        </w:tblCellMar>
        <w:tblLook w:val="04A0" w:firstRow="1" w:lastRow="0" w:firstColumn="1" w:lastColumn="0" w:noHBand="0" w:noVBand="1"/>
      </w:tblPr>
      <w:tblGrid>
        <w:gridCol w:w="275"/>
        <w:gridCol w:w="1190"/>
        <w:gridCol w:w="1317"/>
        <w:gridCol w:w="1211"/>
        <w:gridCol w:w="1313"/>
        <w:gridCol w:w="1197"/>
        <w:gridCol w:w="1056"/>
        <w:gridCol w:w="1230"/>
      </w:tblGrid>
      <w:tr w:rsidR="002B2D8D" w:rsidRPr="002B2D8D" w:rsidTr="002B2D8D">
        <w:trPr>
          <w:trHeight w:val="300"/>
          <w:jc w:val="center"/>
        </w:trPr>
        <w:tc>
          <w:tcPr>
            <w:tcW w:w="5000" w:type="pct"/>
            <w:gridSpan w:val="8"/>
            <w:tcBorders>
              <w:top w:val="nil"/>
              <w:left w:val="nil"/>
              <w:right w:val="nil"/>
            </w:tcBorders>
            <w:shd w:val="clear" w:color="auto" w:fill="auto"/>
            <w:noWrap/>
            <w:vAlign w:val="center"/>
            <w:hideMark/>
          </w:tcPr>
          <w:p w:rsidR="002B2D8D" w:rsidRPr="002B2D8D" w:rsidRDefault="002B2D8D" w:rsidP="002B2D8D">
            <w:pPr>
              <w:spacing w:after="0" w:line="240" w:lineRule="auto"/>
              <w:jc w:val="center"/>
              <w:rPr>
                <w:rFonts w:eastAsia="Times New Roman" w:cs="Calibri"/>
                <w:b/>
                <w:bCs/>
                <w:color w:val="000000"/>
                <w:sz w:val="20"/>
                <w:szCs w:val="20"/>
              </w:rPr>
            </w:pPr>
            <w:r w:rsidRPr="002B2D8D">
              <w:rPr>
                <w:rFonts w:eastAsia="Times New Roman" w:cs="Calibri"/>
                <w:b/>
                <w:bCs/>
                <w:color w:val="000000"/>
                <w:sz w:val="20"/>
                <w:szCs w:val="20"/>
              </w:rPr>
              <w:t>2019-2020</w:t>
            </w:r>
          </w:p>
          <w:p w:rsidR="002B2D8D" w:rsidRPr="002B2D8D" w:rsidRDefault="002B2D8D" w:rsidP="002B2D8D">
            <w:pPr>
              <w:spacing w:after="0" w:line="240" w:lineRule="auto"/>
              <w:jc w:val="center"/>
              <w:rPr>
                <w:rFonts w:eastAsia="Times New Roman" w:cs="Calibri"/>
                <w:b/>
                <w:bCs/>
                <w:color w:val="000000"/>
                <w:sz w:val="20"/>
                <w:szCs w:val="20"/>
              </w:rPr>
            </w:pPr>
            <w:r w:rsidRPr="002B2D8D">
              <w:rPr>
                <w:rFonts w:eastAsia="Times New Roman" w:cs="Calibri"/>
                <w:b/>
                <w:bCs/>
                <w:color w:val="000000"/>
                <w:sz w:val="20"/>
                <w:szCs w:val="20"/>
              </w:rPr>
              <w:t>(MILLONES DE PESOS)</w:t>
            </w:r>
          </w:p>
        </w:tc>
      </w:tr>
      <w:tr w:rsidR="002B2D8D" w:rsidRPr="002B2D8D" w:rsidTr="002B2D8D">
        <w:trPr>
          <w:trHeight w:val="397"/>
          <w:jc w:val="center"/>
        </w:trPr>
        <w:tc>
          <w:tcPr>
            <w:tcW w:w="156" w:type="pct"/>
            <w:vMerge w:val="restart"/>
            <w:tcBorders>
              <w:top w:val="nil"/>
              <w:left w:val="single" w:sz="4" w:space="0" w:color="auto"/>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w:t>
            </w:r>
          </w:p>
        </w:tc>
        <w:tc>
          <w:tcPr>
            <w:tcW w:w="677"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Institución Bancaria</w:t>
            </w:r>
          </w:p>
        </w:tc>
        <w:tc>
          <w:tcPr>
            <w:tcW w:w="749"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Tipo de Crédito Corto Plazo</w:t>
            </w:r>
          </w:p>
        </w:tc>
        <w:tc>
          <w:tcPr>
            <w:tcW w:w="689"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Fecha               Firma</w:t>
            </w:r>
          </w:p>
        </w:tc>
        <w:tc>
          <w:tcPr>
            <w:tcW w:w="746"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Fecha de Vencimiento</w:t>
            </w:r>
          </w:p>
        </w:tc>
        <w:tc>
          <w:tcPr>
            <w:tcW w:w="681"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Monto Contratado</w:t>
            </w:r>
          </w:p>
        </w:tc>
        <w:tc>
          <w:tcPr>
            <w:tcW w:w="601" w:type="pct"/>
            <w:vMerge w:val="restart"/>
            <w:tcBorders>
              <w:top w:val="nil"/>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Monto Dispuesto</w:t>
            </w:r>
          </w:p>
        </w:tc>
        <w:tc>
          <w:tcPr>
            <w:tcW w:w="700" w:type="pct"/>
            <w:vMerge w:val="restart"/>
            <w:tcBorders>
              <w:top w:val="nil"/>
              <w:left w:val="single" w:sz="4" w:space="0" w:color="FFFFFF" w:themeColor="background1"/>
              <w:bottom w:val="single" w:sz="4" w:space="0" w:color="auto"/>
              <w:right w:val="single" w:sz="4" w:space="0" w:color="auto"/>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Saldo al 30/09/2020</w:t>
            </w:r>
          </w:p>
        </w:tc>
      </w:tr>
      <w:tr w:rsidR="002B2D8D" w:rsidRPr="002B2D8D" w:rsidTr="002B2D8D">
        <w:trPr>
          <w:trHeight w:val="300"/>
          <w:jc w:val="center"/>
        </w:trPr>
        <w:tc>
          <w:tcPr>
            <w:tcW w:w="156" w:type="pct"/>
            <w:vMerge/>
            <w:tcBorders>
              <w:top w:val="single" w:sz="4" w:space="0" w:color="FFFFFF" w:themeColor="background1"/>
              <w:left w:val="single" w:sz="4" w:space="0" w:color="auto"/>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77"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749"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89"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746"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81"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01" w:type="pct"/>
            <w:vMerge/>
            <w:tcBorders>
              <w:top w:val="single" w:sz="4" w:space="0" w:color="FFFFFF" w:themeColor="background1"/>
              <w:left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700" w:type="pct"/>
            <w:vMerge/>
            <w:tcBorders>
              <w:top w:val="single" w:sz="4" w:space="0" w:color="FFFFFF" w:themeColor="background1"/>
              <w:left w:val="single" w:sz="4" w:space="0" w:color="FFFFFF" w:themeColor="background1"/>
              <w:right w:val="single" w:sz="4" w:space="0" w:color="auto"/>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r>
      <w:tr w:rsidR="002B2D8D" w:rsidRPr="002B2D8D" w:rsidTr="002B2D8D">
        <w:trPr>
          <w:trHeight w:val="454"/>
          <w:jc w:val="center"/>
        </w:trPr>
        <w:tc>
          <w:tcPr>
            <w:tcW w:w="833" w:type="pct"/>
            <w:gridSpan w:val="2"/>
            <w:tcBorders>
              <w:top w:val="nil"/>
              <w:left w:val="single" w:sz="4" w:space="0" w:color="auto"/>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rPr>
                <w:rFonts w:eastAsia="Times New Roman" w:cs="Calibri"/>
                <w:color w:val="000000"/>
                <w:sz w:val="20"/>
                <w:szCs w:val="20"/>
              </w:rPr>
            </w:pPr>
            <w:r w:rsidRPr="002B2D8D">
              <w:rPr>
                <w:rFonts w:eastAsia="Times New Roman" w:cs="Calibri"/>
                <w:color w:val="000000"/>
                <w:sz w:val="20"/>
                <w:szCs w:val="20"/>
              </w:rPr>
              <w:t>1  HSBC</w:t>
            </w:r>
          </w:p>
        </w:tc>
        <w:tc>
          <w:tcPr>
            <w:tcW w:w="749"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Revolvente</w:t>
            </w:r>
          </w:p>
        </w:tc>
        <w:tc>
          <w:tcPr>
            <w:tcW w:w="689"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25/06/2019</w:t>
            </w:r>
          </w:p>
        </w:tc>
        <w:tc>
          <w:tcPr>
            <w:tcW w:w="74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23/06/2020</w:t>
            </w:r>
          </w:p>
        </w:tc>
        <w:tc>
          <w:tcPr>
            <w:tcW w:w="68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500.00</w:t>
            </w:r>
          </w:p>
        </w:tc>
        <w:tc>
          <w:tcPr>
            <w:tcW w:w="60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1,608.07</w:t>
            </w:r>
          </w:p>
        </w:tc>
        <w:tc>
          <w:tcPr>
            <w:tcW w:w="700" w:type="pct"/>
            <w:tcBorders>
              <w:top w:val="nil"/>
              <w:left w:val="single" w:sz="4" w:space="0" w:color="FFFFFF" w:themeColor="background1"/>
              <w:bottom w:val="single" w:sz="4" w:space="0" w:color="FFFFFF" w:themeColor="background1"/>
              <w:right w:val="single" w:sz="4" w:space="0" w:color="auto"/>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0.00</w:t>
            </w:r>
          </w:p>
        </w:tc>
      </w:tr>
      <w:tr w:rsidR="002B2D8D" w:rsidRPr="002B2D8D" w:rsidTr="002B2D8D">
        <w:trPr>
          <w:trHeight w:val="454"/>
          <w:jc w:val="center"/>
        </w:trPr>
        <w:tc>
          <w:tcPr>
            <w:tcW w:w="833" w:type="pct"/>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rPr>
                <w:rFonts w:eastAsia="Times New Roman" w:cs="Calibri"/>
                <w:color w:val="000000"/>
                <w:sz w:val="20"/>
                <w:szCs w:val="20"/>
              </w:rPr>
            </w:pPr>
            <w:r w:rsidRPr="002B2D8D">
              <w:rPr>
                <w:rFonts w:eastAsia="Times New Roman" w:cs="Calibri"/>
                <w:color w:val="000000"/>
                <w:sz w:val="20"/>
                <w:szCs w:val="20"/>
              </w:rPr>
              <w:t>2  SCOTIABANK</w:t>
            </w:r>
          </w:p>
        </w:tc>
        <w:tc>
          <w:tcPr>
            <w:tcW w:w="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Revolvente</w:t>
            </w:r>
          </w:p>
        </w:tc>
        <w:tc>
          <w:tcPr>
            <w:tcW w:w="6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26/08/2019</w:t>
            </w:r>
          </w:p>
        </w:tc>
        <w:tc>
          <w:tcPr>
            <w:tcW w:w="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24/08/2020</w:t>
            </w: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400.00</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876.00</w:t>
            </w: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0.00</w:t>
            </w:r>
          </w:p>
        </w:tc>
      </w:tr>
      <w:tr w:rsidR="002B2D8D" w:rsidRPr="002B2D8D" w:rsidTr="002B2D8D">
        <w:trPr>
          <w:trHeight w:val="454"/>
          <w:jc w:val="center"/>
        </w:trPr>
        <w:tc>
          <w:tcPr>
            <w:tcW w:w="3018" w:type="pct"/>
            <w:gridSpan w:val="5"/>
            <w:tcBorders>
              <w:top w:val="single" w:sz="4" w:space="0" w:color="FFFFFF" w:themeColor="background1"/>
              <w:left w:val="single" w:sz="4" w:space="0" w:color="auto"/>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TOTAL</w:t>
            </w:r>
          </w:p>
        </w:tc>
        <w:tc>
          <w:tcPr>
            <w:tcW w:w="68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900.00</w:t>
            </w:r>
          </w:p>
        </w:tc>
        <w:tc>
          <w:tcPr>
            <w:tcW w:w="6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2,484.07</w:t>
            </w:r>
          </w:p>
        </w:tc>
        <w:tc>
          <w:tcPr>
            <w:tcW w:w="700"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0.00</w:t>
            </w:r>
          </w:p>
        </w:tc>
      </w:tr>
    </w:tbl>
    <w:p w:rsidR="002B2D8D" w:rsidRPr="009E23E4" w:rsidRDefault="002B2D8D" w:rsidP="002B2D8D">
      <w:pPr>
        <w:spacing w:before="80" w:after="360"/>
        <w:rPr>
          <w:sz w:val="28"/>
          <w:szCs w:val="24"/>
        </w:rPr>
      </w:pPr>
      <w:r w:rsidRPr="009E23E4">
        <w:rPr>
          <w:rFonts w:eastAsia="Times New Roman" w:cs="Calibri"/>
          <w:color w:val="000000"/>
          <w:sz w:val="18"/>
          <w:szCs w:val="16"/>
        </w:rPr>
        <w:t>Elaborado: Dirección de Financiamiento y Fideicomisos</w:t>
      </w:r>
    </w:p>
    <w:p w:rsidR="002B2D8D" w:rsidRPr="0012682C" w:rsidRDefault="002B2D8D" w:rsidP="002B2D8D">
      <w:pPr>
        <w:spacing w:after="0"/>
        <w:rPr>
          <w:b/>
          <w:szCs w:val="24"/>
        </w:rPr>
      </w:pPr>
      <w:r w:rsidRPr="0012682C">
        <w:rPr>
          <w:b/>
          <w:szCs w:val="24"/>
        </w:rPr>
        <w:t>Celebradas</w:t>
      </w:r>
      <w:r>
        <w:rPr>
          <w:b/>
          <w:szCs w:val="24"/>
        </w:rPr>
        <w:t xml:space="preserve"> en el 2020</w:t>
      </w:r>
      <w:r w:rsidRPr="0012682C">
        <w:rPr>
          <w:b/>
          <w:szCs w:val="24"/>
        </w:rPr>
        <w:t xml:space="preserve"> con vigencia a junio y </w:t>
      </w:r>
      <w:r>
        <w:rPr>
          <w:b/>
          <w:szCs w:val="24"/>
        </w:rPr>
        <w:t xml:space="preserve">julio </w:t>
      </w:r>
      <w:r w:rsidRPr="0012682C">
        <w:rPr>
          <w:b/>
          <w:szCs w:val="24"/>
        </w:rPr>
        <w:t>de 20</w:t>
      </w:r>
      <w:r>
        <w:rPr>
          <w:b/>
          <w:szCs w:val="24"/>
        </w:rPr>
        <w:t>21</w:t>
      </w:r>
      <w:r w:rsidRPr="0012682C">
        <w:rPr>
          <w:b/>
          <w:szCs w:val="24"/>
        </w:rPr>
        <w:t>.</w:t>
      </w:r>
    </w:p>
    <w:p w:rsidR="002B2D8D" w:rsidRDefault="002B2D8D" w:rsidP="002B2D8D">
      <w:pPr>
        <w:spacing w:after="0"/>
        <w:rPr>
          <w:szCs w:val="24"/>
        </w:rPr>
      </w:pPr>
      <w:r w:rsidRPr="0012682C">
        <w:rPr>
          <w:szCs w:val="24"/>
        </w:rPr>
        <w:t>En ju</w:t>
      </w:r>
      <w:r>
        <w:rPr>
          <w:szCs w:val="24"/>
        </w:rPr>
        <w:t>nio</w:t>
      </w:r>
      <w:r w:rsidRPr="0012682C">
        <w:rPr>
          <w:szCs w:val="24"/>
        </w:rPr>
        <w:t xml:space="preserve"> y </w:t>
      </w:r>
      <w:r>
        <w:rPr>
          <w:szCs w:val="24"/>
        </w:rPr>
        <w:t>agosto 2020</w:t>
      </w:r>
      <w:r w:rsidRPr="0012682C">
        <w:rPr>
          <w:szCs w:val="24"/>
        </w:rPr>
        <w:t xml:space="preserve"> se celebraron dos obligaciones financieras de corto plazo quirografarias</w:t>
      </w:r>
      <w:r>
        <w:rPr>
          <w:szCs w:val="24"/>
        </w:rPr>
        <w:t xml:space="preserve">, tipo </w:t>
      </w:r>
      <w:r w:rsidRPr="0012682C">
        <w:rPr>
          <w:szCs w:val="24"/>
        </w:rPr>
        <w:t>revolvente</w:t>
      </w:r>
      <w:r>
        <w:rPr>
          <w:szCs w:val="24"/>
        </w:rPr>
        <w:t>, que generaron un monto contratado de 45</w:t>
      </w:r>
      <w:r w:rsidRPr="0012682C">
        <w:rPr>
          <w:szCs w:val="24"/>
        </w:rPr>
        <w:t>0 millones de pesos</w:t>
      </w:r>
      <w:r>
        <w:rPr>
          <w:szCs w:val="24"/>
        </w:rPr>
        <w:t xml:space="preserve">; debido a que son revolventes </w:t>
      </w:r>
      <w:r w:rsidRPr="0012682C">
        <w:rPr>
          <w:szCs w:val="24"/>
        </w:rPr>
        <w:t>las disposiciones pueden ser mayores al monto contratado</w:t>
      </w:r>
      <w:r>
        <w:rPr>
          <w:szCs w:val="24"/>
        </w:rPr>
        <w:t>.</w:t>
      </w:r>
    </w:p>
    <w:p w:rsidR="002B2D8D" w:rsidRDefault="002B2D8D" w:rsidP="002B2D8D">
      <w:pPr>
        <w:spacing w:after="0"/>
        <w:ind w:firstLine="284"/>
        <w:rPr>
          <w:szCs w:val="24"/>
        </w:rPr>
      </w:pPr>
    </w:p>
    <w:p w:rsidR="002B2D8D" w:rsidRDefault="002B2D8D" w:rsidP="002B2D8D">
      <w:pPr>
        <w:spacing w:after="0"/>
        <w:rPr>
          <w:szCs w:val="24"/>
        </w:rPr>
      </w:pPr>
      <w:r>
        <w:rPr>
          <w:szCs w:val="24"/>
        </w:rPr>
        <w:t>De ambos créditos, solamente se realizó una disposición del primer contrato, la cual fue pagada en su totalidad; ambas obligaciones financieras de corto plazo arrojaron saldo cero al 30 de septiembre de 2020.</w:t>
      </w:r>
    </w:p>
    <w:p w:rsidR="002B2D8D" w:rsidRDefault="002B2D8D" w:rsidP="002B2D8D">
      <w:pPr>
        <w:spacing w:after="0"/>
        <w:ind w:firstLine="284"/>
        <w:rPr>
          <w:szCs w:val="24"/>
        </w:rPr>
      </w:pPr>
    </w:p>
    <w:tbl>
      <w:tblPr>
        <w:tblW w:w="5000" w:type="pct"/>
        <w:jc w:val="center"/>
        <w:tblCellMar>
          <w:left w:w="70" w:type="dxa"/>
          <w:right w:w="70" w:type="dxa"/>
        </w:tblCellMar>
        <w:tblLook w:val="04A0" w:firstRow="1" w:lastRow="0" w:firstColumn="1" w:lastColumn="0" w:noHBand="0" w:noVBand="1"/>
      </w:tblPr>
      <w:tblGrid>
        <w:gridCol w:w="254"/>
        <w:gridCol w:w="1658"/>
        <w:gridCol w:w="1403"/>
        <w:gridCol w:w="1055"/>
        <w:gridCol w:w="1243"/>
        <w:gridCol w:w="1099"/>
        <w:gridCol w:w="948"/>
        <w:gridCol w:w="1129"/>
      </w:tblGrid>
      <w:tr w:rsidR="002B2D8D" w:rsidRPr="002B2D8D" w:rsidTr="002B2D8D">
        <w:trPr>
          <w:trHeight w:val="315"/>
          <w:jc w:val="center"/>
        </w:trPr>
        <w:tc>
          <w:tcPr>
            <w:tcW w:w="5000" w:type="pct"/>
            <w:gridSpan w:val="8"/>
            <w:tcBorders>
              <w:top w:val="nil"/>
              <w:left w:val="nil"/>
              <w:bottom w:val="nil"/>
              <w:right w:val="nil"/>
            </w:tcBorders>
            <w:shd w:val="clear" w:color="auto" w:fill="auto"/>
            <w:noWrap/>
            <w:vAlign w:val="center"/>
            <w:hideMark/>
          </w:tcPr>
          <w:p w:rsidR="002B2D8D" w:rsidRPr="002B2D8D" w:rsidRDefault="002B2D8D" w:rsidP="002B2D8D">
            <w:pPr>
              <w:spacing w:after="0" w:line="240" w:lineRule="auto"/>
              <w:jc w:val="center"/>
              <w:rPr>
                <w:rFonts w:eastAsia="Times New Roman" w:cs="Calibri"/>
                <w:b/>
                <w:bCs/>
                <w:color w:val="000000"/>
                <w:sz w:val="20"/>
                <w:szCs w:val="20"/>
              </w:rPr>
            </w:pPr>
            <w:r w:rsidRPr="002B2D8D">
              <w:rPr>
                <w:rFonts w:eastAsia="Times New Roman" w:cs="Calibri"/>
                <w:b/>
                <w:bCs/>
                <w:color w:val="000000"/>
                <w:sz w:val="20"/>
                <w:szCs w:val="20"/>
              </w:rPr>
              <w:t>2020-2021</w:t>
            </w:r>
          </w:p>
        </w:tc>
      </w:tr>
      <w:tr w:rsidR="002B2D8D" w:rsidRPr="002B2D8D" w:rsidTr="002B2D8D">
        <w:trPr>
          <w:trHeight w:val="300"/>
          <w:jc w:val="center"/>
        </w:trPr>
        <w:tc>
          <w:tcPr>
            <w:tcW w:w="5000" w:type="pct"/>
            <w:gridSpan w:val="8"/>
            <w:tcBorders>
              <w:top w:val="nil"/>
              <w:left w:val="nil"/>
              <w:right w:val="nil"/>
            </w:tcBorders>
            <w:shd w:val="clear" w:color="auto" w:fill="auto"/>
            <w:noWrap/>
            <w:vAlign w:val="center"/>
            <w:hideMark/>
          </w:tcPr>
          <w:p w:rsidR="002B2D8D" w:rsidRPr="002B2D8D" w:rsidRDefault="002B2D8D" w:rsidP="002B2D8D">
            <w:pPr>
              <w:spacing w:after="0" w:line="240" w:lineRule="auto"/>
              <w:jc w:val="center"/>
              <w:rPr>
                <w:rFonts w:eastAsia="Times New Roman" w:cs="Calibri"/>
                <w:b/>
                <w:bCs/>
                <w:color w:val="000000"/>
                <w:sz w:val="20"/>
                <w:szCs w:val="20"/>
              </w:rPr>
            </w:pPr>
            <w:r w:rsidRPr="002B2D8D">
              <w:rPr>
                <w:rFonts w:eastAsia="Times New Roman" w:cs="Calibri"/>
                <w:b/>
                <w:bCs/>
                <w:color w:val="000000"/>
                <w:sz w:val="20"/>
                <w:szCs w:val="20"/>
              </w:rPr>
              <w:t>(MILLONES DE PESOS)</w:t>
            </w:r>
          </w:p>
        </w:tc>
      </w:tr>
      <w:tr w:rsidR="002B2D8D" w:rsidRPr="002B2D8D" w:rsidTr="002B2D8D">
        <w:trPr>
          <w:trHeight w:val="300"/>
          <w:jc w:val="center"/>
        </w:trPr>
        <w:tc>
          <w:tcPr>
            <w:tcW w:w="145" w:type="pct"/>
            <w:vMerge w:val="restart"/>
            <w:tcBorders>
              <w:top w:val="nil"/>
              <w:left w:val="single" w:sz="4" w:space="0" w:color="auto"/>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w:t>
            </w:r>
          </w:p>
        </w:tc>
        <w:tc>
          <w:tcPr>
            <w:tcW w:w="944"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Institución Bancaria</w:t>
            </w:r>
          </w:p>
        </w:tc>
        <w:tc>
          <w:tcPr>
            <w:tcW w:w="798"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Tipo de Crédito Corto Plazo</w:t>
            </w:r>
          </w:p>
        </w:tc>
        <w:tc>
          <w:tcPr>
            <w:tcW w:w="600"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Fecha               Firma</w:t>
            </w:r>
          </w:p>
        </w:tc>
        <w:tc>
          <w:tcPr>
            <w:tcW w:w="707"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Fecha de Vencimiento</w:t>
            </w:r>
          </w:p>
        </w:tc>
        <w:tc>
          <w:tcPr>
            <w:tcW w:w="625"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Monto Contratado</w:t>
            </w:r>
          </w:p>
        </w:tc>
        <w:tc>
          <w:tcPr>
            <w:tcW w:w="539"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Monto Dispuesto</w:t>
            </w:r>
          </w:p>
        </w:tc>
        <w:tc>
          <w:tcPr>
            <w:tcW w:w="642" w:type="pct"/>
            <w:vMerge w:val="restart"/>
            <w:tcBorders>
              <w:top w:val="nil"/>
              <w:left w:val="single" w:sz="4" w:space="0" w:color="FFFFFF" w:themeColor="background1"/>
              <w:bottom w:val="single" w:sz="4" w:space="0" w:color="FFFFFF" w:themeColor="background1"/>
              <w:right w:val="single" w:sz="4" w:space="0" w:color="auto"/>
            </w:tcBorders>
            <w:shd w:val="clear" w:color="000000" w:fill="800000"/>
            <w:vAlign w:val="center"/>
            <w:hideMark/>
          </w:tcPr>
          <w:p w:rsidR="002B2D8D" w:rsidRPr="002B2D8D" w:rsidRDefault="002B2D8D" w:rsidP="002B2D8D">
            <w:pPr>
              <w:spacing w:after="0" w:line="240" w:lineRule="auto"/>
              <w:jc w:val="center"/>
              <w:rPr>
                <w:rFonts w:eastAsia="Times New Roman" w:cs="Calibri"/>
                <w:bCs/>
                <w:color w:val="FFFFFF"/>
                <w:sz w:val="20"/>
                <w:szCs w:val="20"/>
              </w:rPr>
            </w:pPr>
            <w:r w:rsidRPr="002B2D8D">
              <w:rPr>
                <w:rFonts w:eastAsia="Times New Roman" w:cs="Calibri"/>
                <w:bCs/>
                <w:color w:val="FFFFFF"/>
                <w:sz w:val="20"/>
                <w:szCs w:val="20"/>
              </w:rPr>
              <w:t>Saldo al 30/09/2020</w:t>
            </w:r>
          </w:p>
        </w:tc>
      </w:tr>
      <w:tr w:rsidR="002B2D8D" w:rsidRPr="002B2D8D" w:rsidTr="002B2D8D">
        <w:trPr>
          <w:trHeight w:val="300"/>
          <w:jc w:val="center"/>
        </w:trPr>
        <w:tc>
          <w:tcPr>
            <w:tcW w:w="145" w:type="pct"/>
            <w:vMerge/>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94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79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0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7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2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53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c>
          <w:tcPr>
            <w:tcW w:w="642" w:type="pct"/>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rsidR="002B2D8D" w:rsidRPr="002B2D8D" w:rsidRDefault="002B2D8D" w:rsidP="002B2D8D">
            <w:pPr>
              <w:spacing w:after="0" w:line="240" w:lineRule="auto"/>
              <w:rPr>
                <w:rFonts w:eastAsia="Times New Roman" w:cs="Calibri"/>
                <w:b/>
                <w:bCs/>
                <w:color w:val="FFFFFF"/>
                <w:sz w:val="20"/>
                <w:szCs w:val="20"/>
              </w:rPr>
            </w:pPr>
          </w:p>
        </w:tc>
      </w:tr>
      <w:tr w:rsidR="002B2D8D" w:rsidRPr="002B2D8D" w:rsidTr="002B2D8D">
        <w:trPr>
          <w:trHeight w:val="510"/>
          <w:jc w:val="center"/>
        </w:trPr>
        <w:tc>
          <w:tcPr>
            <w:tcW w:w="145"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1</w:t>
            </w:r>
          </w:p>
        </w:tc>
        <w:tc>
          <w:tcPr>
            <w:tcW w:w="9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rPr>
                <w:rFonts w:eastAsia="Times New Roman" w:cs="Calibri"/>
                <w:color w:val="000000"/>
                <w:sz w:val="20"/>
                <w:szCs w:val="20"/>
              </w:rPr>
            </w:pPr>
            <w:r w:rsidRPr="002B2D8D">
              <w:rPr>
                <w:rFonts w:eastAsia="Times New Roman" w:cs="Calibri"/>
                <w:color w:val="000000"/>
                <w:sz w:val="20"/>
                <w:szCs w:val="20"/>
              </w:rPr>
              <w:t>BBVA BANCOMER</w:t>
            </w:r>
          </w:p>
        </w:tc>
        <w:tc>
          <w:tcPr>
            <w:tcW w:w="7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Revolvente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44,013.00</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30/06/2021</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300.00</w:t>
            </w:r>
          </w:p>
        </w:tc>
        <w:tc>
          <w:tcPr>
            <w:tcW w:w="5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300.00</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0.00</w:t>
            </w:r>
          </w:p>
        </w:tc>
      </w:tr>
      <w:tr w:rsidR="002B2D8D" w:rsidRPr="002B2D8D" w:rsidTr="002B2D8D">
        <w:trPr>
          <w:trHeight w:val="510"/>
          <w:jc w:val="center"/>
        </w:trPr>
        <w:tc>
          <w:tcPr>
            <w:tcW w:w="145"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2</w:t>
            </w:r>
          </w:p>
        </w:tc>
        <w:tc>
          <w:tcPr>
            <w:tcW w:w="9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rPr>
                <w:rFonts w:eastAsia="Times New Roman" w:cs="Calibri"/>
                <w:color w:val="000000"/>
                <w:sz w:val="20"/>
                <w:szCs w:val="20"/>
              </w:rPr>
            </w:pPr>
            <w:r w:rsidRPr="002B2D8D">
              <w:rPr>
                <w:rFonts w:eastAsia="Times New Roman" w:cs="Calibri"/>
                <w:color w:val="000000"/>
                <w:sz w:val="20"/>
                <w:szCs w:val="20"/>
              </w:rPr>
              <w:t>HSBC</w:t>
            </w:r>
          </w:p>
        </w:tc>
        <w:tc>
          <w:tcPr>
            <w:tcW w:w="7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Revolvente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44,074.00</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31/07/2021</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150.00</w:t>
            </w:r>
          </w:p>
        </w:tc>
        <w:tc>
          <w:tcPr>
            <w:tcW w:w="5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0.00</w:t>
            </w:r>
          </w:p>
        </w:tc>
        <w:tc>
          <w:tcPr>
            <w:tcW w:w="642"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hideMark/>
          </w:tcPr>
          <w:p w:rsidR="002B2D8D" w:rsidRPr="002B2D8D" w:rsidRDefault="002B2D8D" w:rsidP="002B2D8D">
            <w:pPr>
              <w:spacing w:after="0" w:line="240" w:lineRule="auto"/>
              <w:jc w:val="center"/>
              <w:rPr>
                <w:rFonts w:eastAsia="Times New Roman" w:cs="Calibri"/>
                <w:color w:val="000000"/>
                <w:sz w:val="20"/>
                <w:szCs w:val="20"/>
              </w:rPr>
            </w:pPr>
            <w:r w:rsidRPr="002B2D8D">
              <w:rPr>
                <w:rFonts w:eastAsia="Times New Roman" w:cs="Calibri"/>
                <w:color w:val="000000"/>
                <w:sz w:val="20"/>
                <w:szCs w:val="20"/>
              </w:rPr>
              <w:t>0.00</w:t>
            </w:r>
          </w:p>
        </w:tc>
      </w:tr>
      <w:tr w:rsidR="002B2D8D" w:rsidRPr="002B2D8D" w:rsidTr="002B2D8D">
        <w:trPr>
          <w:trHeight w:val="510"/>
          <w:jc w:val="center"/>
        </w:trPr>
        <w:tc>
          <w:tcPr>
            <w:tcW w:w="3194" w:type="pct"/>
            <w:gridSpan w:val="5"/>
            <w:tcBorders>
              <w:top w:val="single" w:sz="4" w:space="0" w:color="FFFFFF" w:themeColor="background1"/>
              <w:left w:val="single" w:sz="4" w:space="0" w:color="auto"/>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TOTAL</w:t>
            </w:r>
          </w:p>
        </w:tc>
        <w:tc>
          <w:tcPr>
            <w:tcW w:w="62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450.00</w:t>
            </w:r>
          </w:p>
        </w:tc>
        <w:tc>
          <w:tcPr>
            <w:tcW w:w="53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300.00</w:t>
            </w:r>
          </w:p>
        </w:tc>
        <w:tc>
          <w:tcPr>
            <w:tcW w:w="642"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2B2D8D" w:rsidRPr="002B2D8D" w:rsidRDefault="002B2D8D" w:rsidP="002B2D8D">
            <w:pPr>
              <w:spacing w:after="0" w:line="240" w:lineRule="auto"/>
              <w:jc w:val="center"/>
              <w:rPr>
                <w:rFonts w:eastAsia="Times New Roman" w:cs="Calibri"/>
                <w:b/>
                <w:bCs/>
                <w:color w:val="FFFFFF"/>
                <w:sz w:val="20"/>
                <w:szCs w:val="20"/>
              </w:rPr>
            </w:pPr>
            <w:r w:rsidRPr="002B2D8D">
              <w:rPr>
                <w:rFonts w:eastAsia="Times New Roman" w:cs="Calibri"/>
                <w:b/>
                <w:bCs/>
                <w:color w:val="FFFFFF"/>
                <w:sz w:val="20"/>
                <w:szCs w:val="20"/>
              </w:rPr>
              <w:t>0.00</w:t>
            </w:r>
          </w:p>
        </w:tc>
      </w:tr>
    </w:tbl>
    <w:p w:rsidR="002B2D8D" w:rsidRPr="00130EF5" w:rsidRDefault="002B2D8D" w:rsidP="002B2D8D">
      <w:pPr>
        <w:spacing w:before="80" w:after="0"/>
        <w:rPr>
          <w:sz w:val="28"/>
          <w:szCs w:val="24"/>
        </w:rPr>
      </w:pPr>
      <w:r w:rsidRPr="00130EF5">
        <w:rPr>
          <w:rFonts w:eastAsia="Times New Roman" w:cs="Calibri"/>
          <w:color w:val="000000"/>
          <w:sz w:val="18"/>
          <w:szCs w:val="16"/>
        </w:rPr>
        <w:t>Elaborado: Dirección de Financiamiento y Fideicomisos</w:t>
      </w:r>
    </w:p>
    <w:p w:rsidR="000F44B2" w:rsidRPr="005F18CC" w:rsidRDefault="000F44B2" w:rsidP="000F44B2">
      <w:pPr>
        <w:spacing w:after="0"/>
        <w:rPr>
          <w:rFonts w:asciiTheme="minorHAnsi" w:hAnsiTheme="minorHAnsi" w:cstheme="minorHAnsi"/>
          <w:sz w:val="16"/>
          <w:szCs w:val="16"/>
        </w:rPr>
      </w:pPr>
    </w:p>
    <w:p w:rsidR="000F44B2" w:rsidRPr="005F18CC" w:rsidRDefault="00063FBA" w:rsidP="000F44B2">
      <w:pPr>
        <w:pStyle w:val="Ttulo3"/>
        <w:rPr>
          <w:rFonts w:asciiTheme="minorHAnsi" w:hAnsiTheme="minorHAnsi" w:cstheme="minorHAnsi"/>
        </w:rPr>
      </w:pPr>
      <w:bookmarkStart w:id="90" w:name="_Toc521935724"/>
      <w:bookmarkStart w:id="91" w:name="_Toc55491785"/>
      <w:r>
        <w:rPr>
          <w:rFonts w:asciiTheme="minorHAnsi" w:hAnsiTheme="minorHAnsi" w:cstheme="minorHAnsi"/>
        </w:rPr>
        <w:lastRenderedPageBreak/>
        <w:t>3.7</w:t>
      </w:r>
      <w:r w:rsidR="000F44B2" w:rsidRPr="005F18CC">
        <w:rPr>
          <w:rFonts w:asciiTheme="minorHAnsi" w:hAnsiTheme="minorHAnsi" w:cstheme="minorHAnsi"/>
        </w:rPr>
        <w:t>. Pago de Obligaciones de Corto Plazo</w:t>
      </w:r>
      <w:bookmarkEnd w:id="90"/>
      <w:r w:rsidR="002B2D8D">
        <w:rPr>
          <w:rFonts w:asciiTheme="minorHAnsi" w:hAnsiTheme="minorHAnsi" w:cstheme="minorHAnsi"/>
        </w:rPr>
        <w:t xml:space="preserve"> de Enero a Septiembre 2020</w:t>
      </w:r>
      <w:bookmarkEnd w:id="91"/>
    </w:p>
    <w:p w:rsidR="000F44B2" w:rsidRPr="005F18CC" w:rsidRDefault="000F44B2" w:rsidP="000F44B2">
      <w:pPr>
        <w:spacing w:after="0"/>
        <w:rPr>
          <w:rFonts w:asciiTheme="minorHAnsi" w:hAnsiTheme="minorHAnsi" w:cstheme="minorHAnsi"/>
          <w:b/>
          <w:sz w:val="10"/>
          <w:szCs w:val="10"/>
        </w:rPr>
      </w:pPr>
    </w:p>
    <w:p w:rsidR="002B2D8D" w:rsidRPr="00130EF5" w:rsidRDefault="007F0A36" w:rsidP="002B2D8D">
      <w:pPr>
        <w:spacing w:after="0"/>
        <w:rPr>
          <w:szCs w:val="24"/>
        </w:rPr>
      </w:pPr>
      <w:bookmarkStart w:id="92" w:name="_Toc521935725"/>
      <w:r w:rsidRPr="0012682C">
        <w:rPr>
          <w:szCs w:val="24"/>
        </w:rPr>
        <w:t>El</w:t>
      </w:r>
      <w:r w:rsidRPr="00130EF5">
        <w:rPr>
          <w:szCs w:val="24"/>
        </w:rPr>
        <w:t xml:space="preserve"> pago del servicio de la deuda de créditos de corto plazo de enero a septiembre de 2020</w:t>
      </w:r>
      <w:r>
        <w:rPr>
          <w:szCs w:val="24"/>
        </w:rPr>
        <w:t xml:space="preserve"> </w:t>
      </w:r>
      <w:r w:rsidRPr="00130EF5">
        <w:rPr>
          <w:szCs w:val="24"/>
        </w:rPr>
        <w:t>fue de</w:t>
      </w:r>
      <w:r>
        <w:rPr>
          <w:szCs w:val="24"/>
        </w:rPr>
        <w:t xml:space="preserve"> </w:t>
      </w:r>
      <w:r w:rsidRPr="00130EF5">
        <w:rPr>
          <w:szCs w:val="24"/>
        </w:rPr>
        <w:t>1,668.28 millones de pesos; pago que se compone de 1,668.28 millones de pesos a pago capital, y</w:t>
      </w:r>
      <w:r>
        <w:rPr>
          <w:szCs w:val="24"/>
        </w:rPr>
        <w:t xml:space="preserve"> </w:t>
      </w:r>
      <w:r w:rsidRPr="00130EF5">
        <w:rPr>
          <w:szCs w:val="24"/>
        </w:rPr>
        <w:t xml:space="preserve">19.44 millones de pesos a pago de intereses. </w:t>
      </w:r>
    </w:p>
    <w:p w:rsidR="002B2D8D" w:rsidRDefault="002B2D8D" w:rsidP="002B2D8D">
      <w:pPr>
        <w:spacing w:after="0"/>
        <w:rPr>
          <w:szCs w:val="24"/>
        </w:rPr>
      </w:pPr>
    </w:p>
    <w:p w:rsidR="002B2D8D" w:rsidRPr="00152B7B" w:rsidRDefault="002B2D8D" w:rsidP="002B2D8D">
      <w:pPr>
        <w:spacing w:after="0" w:line="240" w:lineRule="auto"/>
        <w:jc w:val="center"/>
        <w:rPr>
          <w:b/>
          <w:sz w:val="20"/>
        </w:rPr>
      </w:pPr>
      <w:r w:rsidRPr="00152B7B">
        <w:rPr>
          <w:b/>
          <w:sz w:val="20"/>
        </w:rPr>
        <w:t xml:space="preserve">PAGO DE INTERESES Y CAPITAL </w:t>
      </w:r>
    </w:p>
    <w:p w:rsidR="002B2D8D" w:rsidRPr="00152B7B" w:rsidRDefault="002B2D8D" w:rsidP="002B2D8D">
      <w:pPr>
        <w:spacing w:after="0" w:line="240" w:lineRule="auto"/>
        <w:jc w:val="center"/>
        <w:rPr>
          <w:b/>
          <w:sz w:val="20"/>
        </w:rPr>
      </w:pPr>
      <w:r w:rsidRPr="00152B7B">
        <w:rPr>
          <w:b/>
          <w:sz w:val="20"/>
        </w:rPr>
        <w:t>(MILLONES DE PESOS)</w:t>
      </w:r>
    </w:p>
    <w:p w:rsidR="002B2D8D" w:rsidRDefault="002B2D8D" w:rsidP="002B2D8D">
      <w:pPr>
        <w:spacing w:after="0" w:line="240" w:lineRule="auto"/>
        <w:ind w:left="2694" w:right="-235"/>
        <w:rPr>
          <w:rFonts w:eastAsia="Times New Roman"/>
          <w:color w:val="000000"/>
          <w:sz w:val="16"/>
          <w:szCs w:val="16"/>
        </w:rPr>
      </w:pPr>
    </w:p>
    <w:tbl>
      <w:tblPr>
        <w:tblW w:w="5746" w:type="dxa"/>
        <w:jc w:val="center"/>
        <w:tblCellMar>
          <w:left w:w="70" w:type="dxa"/>
          <w:right w:w="70" w:type="dxa"/>
        </w:tblCellMar>
        <w:tblLook w:val="04A0" w:firstRow="1" w:lastRow="0" w:firstColumn="1" w:lastColumn="0" w:noHBand="0" w:noVBand="1"/>
      </w:tblPr>
      <w:tblGrid>
        <w:gridCol w:w="3306"/>
        <w:gridCol w:w="2440"/>
      </w:tblGrid>
      <w:tr w:rsidR="002B2D8D" w:rsidRPr="00152B7B" w:rsidTr="002B2D8D">
        <w:trPr>
          <w:trHeight w:val="315"/>
          <w:jc w:val="center"/>
        </w:trPr>
        <w:tc>
          <w:tcPr>
            <w:tcW w:w="3306"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noWrap/>
            <w:vAlign w:val="center"/>
            <w:hideMark/>
          </w:tcPr>
          <w:p w:rsidR="002B2D8D" w:rsidRPr="00152B7B" w:rsidRDefault="002B2D8D" w:rsidP="002B2D8D">
            <w:pPr>
              <w:spacing w:after="0" w:line="240" w:lineRule="auto"/>
              <w:jc w:val="center"/>
              <w:rPr>
                <w:rFonts w:eastAsia="Times New Roman" w:cs="Calibri"/>
                <w:b/>
                <w:bCs/>
                <w:color w:val="FFFFFF"/>
                <w:sz w:val="20"/>
              </w:rPr>
            </w:pPr>
            <w:r w:rsidRPr="00152B7B">
              <w:rPr>
                <w:rFonts w:eastAsia="Times New Roman" w:cs="Calibri"/>
                <w:b/>
                <w:bCs/>
                <w:color w:val="FFFFFF"/>
                <w:sz w:val="20"/>
              </w:rPr>
              <w:t>CONCEPTO</w:t>
            </w:r>
          </w:p>
        </w:tc>
        <w:tc>
          <w:tcPr>
            <w:tcW w:w="2440" w:type="dxa"/>
            <w:tcBorders>
              <w:top w:val="single" w:sz="4" w:space="0" w:color="auto"/>
              <w:left w:val="single" w:sz="4" w:space="0" w:color="FFFFFF" w:themeColor="background1"/>
              <w:right w:val="single" w:sz="4" w:space="0" w:color="auto"/>
            </w:tcBorders>
            <w:shd w:val="clear" w:color="000000" w:fill="800000"/>
            <w:noWrap/>
            <w:vAlign w:val="center"/>
            <w:hideMark/>
          </w:tcPr>
          <w:p w:rsidR="002B2D8D" w:rsidRPr="00152B7B" w:rsidRDefault="002B2D8D" w:rsidP="002B2D8D">
            <w:pPr>
              <w:spacing w:after="0" w:line="240" w:lineRule="auto"/>
              <w:jc w:val="center"/>
              <w:rPr>
                <w:rFonts w:eastAsia="Times New Roman" w:cs="Calibri"/>
                <w:b/>
                <w:bCs/>
                <w:color w:val="FFFFFF"/>
                <w:sz w:val="20"/>
              </w:rPr>
            </w:pPr>
            <w:r w:rsidRPr="00152B7B">
              <w:rPr>
                <w:rFonts w:eastAsia="Times New Roman" w:cs="Calibri"/>
                <w:b/>
                <w:bCs/>
                <w:color w:val="FFFFFF"/>
                <w:sz w:val="20"/>
              </w:rPr>
              <w:t>ENERO-SEPTIEMBRE</w:t>
            </w:r>
          </w:p>
        </w:tc>
      </w:tr>
      <w:tr w:rsidR="002B2D8D" w:rsidRPr="00152B7B" w:rsidTr="002B2D8D">
        <w:trPr>
          <w:trHeight w:val="315"/>
          <w:jc w:val="center"/>
        </w:trPr>
        <w:tc>
          <w:tcPr>
            <w:tcW w:w="3306" w:type="dxa"/>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2B2D8D" w:rsidRPr="00152B7B" w:rsidRDefault="002B2D8D" w:rsidP="002B2D8D">
            <w:pPr>
              <w:spacing w:after="0" w:line="240" w:lineRule="auto"/>
              <w:rPr>
                <w:rFonts w:eastAsia="Times New Roman" w:cs="Calibri"/>
                <w:b/>
                <w:bCs/>
                <w:color w:val="FFFFFF"/>
                <w:sz w:val="20"/>
              </w:rPr>
            </w:pPr>
          </w:p>
        </w:tc>
        <w:tc>
          <w:tcPr>
            <w:tcW w:w="2440" w:type="dxa"/>
            <w:tcBorders>
              <w:left w:val="single" w:sz="4" w:space="0" w:color="FFFFFF" w:themeColor="background1"/>
              <w:bottom w:val="single" w:sz="4" w:space="0" w:color="auto"/>
              <w:right w:val="single" w:sz="4" w:space="0" w:color="auto"/>
            </w:tcBorders>
            <w:shd w:val="clear" w:color="000000" w:fill="800000"/>
            <w:noWrap/>
            <w:vAlign w:val="center"/>
            <w:hideMark/>
          </w:tcPr>
          <w:p w:rsidR="002B2D8D" w:rsidRPr="00152B7B" w:rsidRDefault="002B2D8D" w:rsidP="002B2D8D">
            <w:pPr>
              <w:spacing w:after="0" w:line="240" w:lineRule="auto"/>
              <w:jc w:val="center"/>
              <w:rPr>
                <w:rFonts w:eastAsia="Times New Roman" w:cs="Calibri"/>
                <w:b/>
                <w:bCs/>
                <w:color w:val="FFFFFF"/>
                <w:sz w:val="20"/>
              </w:rPr>
            </w:pPr>
            <w:r w:rsidRPr="00152B7B">
              <w:rPr>
                <w:rFonts w:eastAsia="Times New Roman" w:cs="Calibri"/>
                <w:b/>
                <w:bCs/>
                <w:color w:val="FFFFFF"/>
                <w:sz w:val="20"/>
              </w:rPr>
              <w:t>2020</w:t>
            </w:r>
            <w:r w:rsidRPr="00152B7B">
              <w:rPr>
                <w:rFonts w:eastAsia="Times New Roman" w:cs="Calibri"/>
                <w:b/>
                <w:bCs/>
                <w:color w:val="FFFFFF"/>
                <w:sz w:val="20"/>
                <w:vertAlign w:val="superscript"/>
              </w:rPr>
              <w:t>1/</w:t>
            </w:r>
          </w:p>
        </w:tc>
      </w:tr>
      <w:tr w:rsidR="002B2D8D" w:rsidRPr="00152B7B" w:rsidTr="002B2D8D">
        <w:trPr>
          <w:trHeight w:val="397"/>
          <w:jc w:val="center"/>
        </w:trPr>
        <w:tc>
          <w:tcPr>
            <w:tcW w:w="3306" w:type="dxa"/>
            <w:tcBorders>
              <w:top w:val="single" w:sz="4" w:space="0" w:color="auto"/>
              <w:left w:val="single" w:sz="4" w:space="0" w:color="auto"/>
              <w:bottom w:val="single" w:sz="4" w:space="0" w:color="FFFFFF" w:themeColor="background1"/>
              <w:right w:val="single" w:sz="4" w:space="0" w:color="FFFFFF" w:themeColor="background1"/>
            </w:tcBorders>
            <w:shd w:val="clear" w:color="000000" w:fill="FFFFFF"/>
            <w:noWrap/>
            <w:vAlign w:val="center"/>
            <w:hideMark/>
          </w:tcPr>
          <w:p w:rsidR="002B2D8D" w:rsidRPr="00152B7B" w:rsidRDefault="002B2D8D" w:rsidP="002B2D8D">
            <w:pPr>
              <w:spacing w:after="0" w:line="240" w:lineRule="auto"/>
              <w:rPr>
                <w:rFonts w:eastAsia="Times New Roman" w:cs="Calibri"/>
                <w:b/>
                <w:bCs/>
                <w:color w:val="000000"/>
                <w:sz w:val="20"/>
              </w:rPr>
            </w:pPr>
            <w:r w:rsidRPr="00152B7B">
              <w:rPr>
                <w:rFonts w:eastAsia="Times New Roman" w:cs="Calibri"/>
                <w:b/>
                <w:bCs/>
                <w:color w:val="000000"/>
                <w:sz w:val="20"/>
              </w:rPr>
              <w:t>TOTAL</w:t>
            </w:r>
          </w:p>
        </w:tc>
        <w:tc>
          <w:tcPr>
            <w:tcW w:w="2440"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FFFFFF"/>
            <w:noWrap/>
            <w:vAlign w:val="center"/>
            <w:hideMark/>
          </w:tcPr>
          <w:p w:rsidR="002B2D8D" w:rsidRPr="00152B7B" w:rsidRDefault="002B2D8D" w:rsidP="002B2D8D">
            <w:pPr>
              <w:spacing w:after="0" w:line="240" w:lineRule="auto"/>
              <w:ind w:right="856"/>
              <w:jc w:val="right"/>
              <w:rPr>
                <w:rFonts w:eastAsia="Times New Roman" w:cs="Calibri"/>
                <w:b/>
                <w:bCs/>
                <w:color w:val="000000"/>
                <w:sz w:val="20"/>
              </w:rPr>
            </w:pPr>
            <w:r w:rsidRPr="00152B7B">
              <w:rPr>
                <w:rFonts w:eastAsia="Times New Roman" w:cs="Calibri"/>
                <w:b/>
                <w:bCs/>
                <w:color w:val="000000"/>
                <w:sz w:val="20"/>
              </w:rPr>
              <w:t>1,668.28</w:t>
            </w:r>
          </w:p>
        </w:tc>
      </w:tr>
      <w:tr w:rsidR="002B2D8D" w:rsidRPr="00152B7B" w:rsidTr="002B2D8D">
        <w:trPr>
          <w:trHeight w:val="397"/>
          <w:jc w:val="center"/>
        </w:trPr>
        <w:tc>
          <w:tcPr>
            <w:tcW w:w="330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FFFFFF"/>
            <w:noWrap/>
            <w:vAlign w:val="center"/>
            <w:hideMark/>
          </w:tcPr>
          <w:p w:rsidR="002B2D8D" w:rsidRPr="00152B7B" w:rsidRDefault="002B2D8D" w:rsidP="002B2D8D">
            <w:pPr>
              <w:spacing w:after="0" w:line="240" w:lineRule="auto"/>
              <w:rPr>
                <w:rFonts w:eastAsia="Times New Roman" w:cs="Calibri"/>
                <w:color w:val="000000"/>
                <w:sz w:val="20"/>
              </w:rPr>
            </w:pPr>
            <w:r w:rsidRPr="00152B7B">
              <w:rPr>
                <w:rFonts w:eastAsia="Times New Roman" w:cs="Calibri"/>
                <w:color w:val="000000"/>
                <w:sz w:val="20"/>
              </w:rPr>
              <w:t>Intereses</w:t>
            </w:r>
          </w:p>
        </w:tc>
        <w:tc>
          <w:tcPr>
            <w:tcW w:w="244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FFFFFF"/>
            <w:noWrap/>
            <w:vAlign w:val="center"/>
            <w:hideMark/>
          </w:tcPr>
          <w:p w:rsidR="002B2D8D" w:rsidRPr="00152B7B" w:rsidRDefault="002B2D8D" w:rsidP="002B2D8D">
            <w:pPr>
              <w:spacing w:after="0" w:line="240" w:lineRule="auto"/>
              <w:ind w:right="856"/>
              <w:jc w:val="right"/>
              <w:rPr>
                <w:rFonts w:eastAsia="Times New Roman" w:cs="Calibri"/>
                <w:color w:val="000000"/>
                <w:sz w:val="20"/>
              </w:rPr>
            </w:pPr>
            <w:r w:rsidRPr="00152B7B">
              <w:rPr>
                <w:rFonts w:eastAsia="Times New Roman" w:cs="Calibri"/>
                <w:color w:val="000000"/>
                <w:sz w:val="20"/>
              </w:rPr>
              <w:t>19.44</w:t>
            </w:r>
          </w:p>
        </w:tc>
      </w:tr>
      <w:tr w:rsidR="002B2D8D" w:rsidRPr="00152B7B" w:rsidTr="002B2D8D">
        <w:trPr>
          <w:trHeight w:val="397"/>
          <w:jc w:val="center"/>
        </w:trPr>
        <w:tc>
          <w:tcPr>
            <w:tcW w:w="3306" w:type="dxa"/>
            <w:tcBorders>
              <w:top w:val="single" w:sz="4" w:space="0" w:color="FFFFFF" w:themeColor="background1"/>
              <w:left w:val="single" w:sz="4" w:space="0" w:color="auto"/>
              <w:bottom w:val="single" w:sz="4" w:space="0" w:color="auto"/>
              <w:right w:val="single" w:sz="4" w:space="0" w:color="FFFFFF" w:themeColor="background1"/>
            </w:tcBorders>
            <w:shd w:val="clear" w:color="000000" w:fill="FFFFFF"/>
            <w:noWrap/>
            <w:vAlign w:val="center"/>
            <w:hideMark/>
          </w:tcPr>
          <w:p w:rsidR="002B2D8D" w:rsidRPr="00152B7B" w:rsidRDefault="002B2D8D" w:rsidP="002B2D8D">
            <w:pPr>
              <w:spacing w:after="0" w:line="240" w:lineRule="auto"/>
              <w:rPr>
                <w:rFonts w:eastAsia="Times New Roman" w:cs="Calibri"/>
                <w:color w:val="000000"/>
                <w:sz w:val="20"/>
              </w:rPr>
            </w:pPr>
            <w:r w:rsidRPr="00152B7B">
              <w:rPr>
                <w:rFonts w:eastAsia="Times New Roman" w:cs="Calibri"/>
                <w:color w:val="000000"/>
                <w:sz w:val="20"/>
              </w:rPr>
              <w:t>Capital</w:t>
            </w:r>
          </w:p>
        </w:tc>
        <w:tc>
          <w:tcPr>
            <w:tcW w:w="244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FFFFFF"/>
            <w:noWrap/>
            <w:vAlign w:val="center"/>
            <w:hideMark/>
          </w:tcPr>
          <w:p w:rsidR="002B2D8D" w:rsidRPr="00152B7B" w:rsidRDefault="002B2D8D" w:rsidP="002B2D8D">
            <w:pPr>
              <w:spacing w:after="0" w:line="240" w:lineRule="auto"/>
              <w:ind w:right="856"/>
              <w:jc w:val="right"/>
              <w:rPr>
                <w:rFonts w:eastAsia="Times New Roman" w:cs="Calibri"/>
                <w:color w:val="000000"/>
                <w:sz w:val="20"/>
              </w:rPr>
            </w:pPr>
            <w:r w:rsidRPr="00152B7B">
              <w:rPr>
                <w:rFonts w:eastAsia="Times New Roman" w:cs="Calibri"/>
                <w:color w:val="000000"/>
                <w:sz w:val="20"/>
              </w:rPr>
              <w:t>1,648.85</w:t>
            </w:r>
          </w:p>
        </w:tc>
      </w:tr>
    </w:tbl>
    <w:p w:rsidR="002B2D8D" w:rsidRPr="009E23E4" w:rsidRDefault="002B2D8D" w:rsidP="002B2D8D">
      <w:pPr>
        <w:spacing w:before="80" w:after="0" w:line="240" w:lineRule="auto"/>
        <w:ind w:left="1843" w:right="-232"/>
        <w:rPr>
          <w:sz w:val="18"/>
          <w:szCs w:val="18"/>
        </w:rPr>
      </w:pPr>
      <w:r w:rsidRPr="009E23E4">
        <w:rPr>
          <w:rFonts w:eastAsia="Times New Roman"/>
          <w:color w:val="000000"/>
          <w:sz w:val="18"/>
          <w:szCs w:val="18"/>
        </w:rPr>
        <w:t>Fuente: Dirección de Financiamiento y Fideicomisos</w:t>
      </w:r>
    </w:p>
    <w:p w:rsidR="002B2D8D" w:rsidRPr="009E23E4" w:rsidRDefault="002B2D8D" w:rsidP="002B2D8D">
      <w:pPr>
        <w:spacing w:after="360" w:line="240" w:lineRule="auto"/>
        <w:ind w:left="1843" w:right="-232"/>
        <w:rPr>
          <w:sz w:val="18"/>
          <w:szCs w:val="18"/>
        </w:rPr>
      </w:pPr>
      <w:r w:rsidRPr="009E23E4">
        <w:rPr>
          <w:sz w:val="18"/>
          <w:szCs w:val="18"/>
        </w:rPr>
        <w:t>1/ Cifras preliminares.</w:t>
      </w:r>
    </w:p>
    <w:p w:rsidR="002B2D8D" w:rsidRPr="00232077" w:rsidRDefault="002B2D8D" w:rsidP="002B2D8D">
      <w:pPr>
        <w:spacing w:after="0"/>
        <w:rPr>
          <w:rFonts w:cs="Arial"/>
          <w:b/>
          <w:iCs/>
          <w:sz w:val="28"/>
          <w:szCs w:val="28"/>
        </w:rPr>
      </w:pPr>
      <w:r w:rsidRPr="002B2D8D">
        <w:rPr>
          <w:rFonts w:cs="Arial"/>
          <w:b/>
          <w:iCs/>
          <w:szCs w:val="28"/>
        </w:rPr>
        <w:t>Hechos relevantes en materia de deuda pública 2019-2020:</w:t>
      </w:r>
    </w:p>
    <w:p w:rsidR="002B2D8D" w:rsidRPr="006221F2" w:rsidRDefault="002B2D8D" w:rsidP="002B2D8D">
      <w:pPr>
        <w:spacing w:after="0"/>
        <w:rPr>
          <w:szCs w:val="24"/>
        </w:rPr>
      </w:pPr>
    </w:p>
    <w:p w:rsidR="002B2D8D" w:rsidRPr="006221F2" w:rsidRDefault="002B2D8D" w:rsidP="002B2D8D">
      <w:pPr>
        <w:pStyle w:val="Prrafodelista"/>
        <w:tabs>
          <w:tab w:val="left" w:pos="567"/>
        </w:tabs>
        <w:spacing w:after="0"/>
        <w:ind w:left="0" w:right="-1"/>
        <w:rPr>
          <w:rFonts w:cstheme="minorHAnsi"/>
          <w:szCs w:val="24"/>
        </w:rPr>
      </w:pPr>
      <w:r w:rsidRPr="006221F2">
        <w:rPr>
          <w:rFonts w:cstheme="minorHAnsi"/>
          <w:szCs w:val="24"/>
        </w:rPr>
        <w:t>El 27 de septiembre de 2019 Fitch Ratings publicó una nueva metodología para calificar la calidad crediticia de las entidades federativas, y el 4 de noviembre del mismo año público un comunicado en el que subió la calificación del Estado de A+ (Alta Calidad Crediticia) a la calificación de AA</w:t>
      </w:r>
      <w:r>
        <w:rPr>
          <w:rFonts w:cstheme="minorHAnsi"/>
          <w:szCs w:val="24"/>
        </w:rPr>
        <w:t>- (Muy Alta Calidad Crediticia), la cual se ha mantenido.</w:t>
      </w:r>
    </w:p>
    <w:p w:rsidR="000F44B2" w:rsidRPr="005F18CC" w:rsidRDefault="00AB1B2B" w:rsidP="000F44B2">
      <w:pPr>
        <w:pStyle w:val="Ttulo3"/>
        <w:spacing w:after="240"/>
        <w:rPr>
          <w:rFonts w:asciiTheme="minorHAnsi" w:hAnsiTheme="minorHAnsi" w:cstheme="minorHAnsi"/>
        </w:rPr>
      </w:pPr>
      <w:bookmarkStart w:id="93" w:name="_Toc55491786"/>
      <w:r>
        <w:rPr>
          <w:rFonts w:asciiTheme="minorHAnsi" w:hAnsiTheme="minorHAnsi" w:cstheme="minorHAnsi"/>
        </w:rPr>
        <w:t>3.8</w:t>
      </w:r>
      <w:r w:rsidR="000F44B2" w:rsidRPr="005F18CC">
        <w:rPr>
          <w:rFonts w:asciiTheme="minorHAnsi" w:hAnsiTheme="minorHAnsi" w:cstheme="minorHAnsi"/>
        </w:rPr>
        <w:t>. Calificación a la Calidad Crediticia del Estado</w:t>
      </w:r>
      <w:bookmarkEnd w:id="92"/>
      <w:bookmarkEnd w:id="93"/>
    </w:p>
    <w:p w:rsidR="002B2D8D" w:rsidRDefault="007F0A36" w:rsidP="002B2D8D">
      <w:pPr>
        <w:spacing w:after="0"/>
        <w:rPr>
          <w:szCs w:val="24"/>
        </w:rPr>
      </w:pPr>
      <w:r w:rsidRPr="006221F2">
        <w:rPr>
          <w:szCs w:val="24"/>
        </w:rPr>
        <w:t>La calificación</w:t>
      </w:r>
      <w:r>
        <w:rPr>
          <w:szCs w:val="24"/>
        </w:rPr>
        <w:t xml:space="preserve"> </w:t>
      </w:r>
      <w:r w:rsidRPr="006221F2">
        <w:rPr>
          <w:szCs w:val="24"/>
        </w:rPr>
        <w:t>a la Calidad Crediticia del Estado de Sinaloa, a diciembre</w:t>
      </w:r>
      <w:r>
        <w:rPr>
          <w:szCs w:val="24"/>
        </w:rPr>
        <w:t xml:space="preserve"> </w:t>
      </w:r>
      <w:r w:rsidRPr="006221F2">
        <w:rPr>
          <w:szCs w:val="24"/>
        </w:rPr>
        <w:t>de 2019,</w:t>
      </w:r>
      <w:r>
        <w:rPr>
          <w:szCs w:val="24"/>
        </w:rPr>
        <w:t xml:space="preserve"> </w:t>
      </w:r>
      <w:r w:rsidRPr="006221F2">
        <w:rPr>
          <w:szCs w:val="24"/>
        </w:rPr>
        <w:t>se encuentra en escala</w:t>
      </w:r>
      <w:r>
        <w:rPr>
          <w:szCs w:val="24"/>
        </w:rPr>
        <w:t xml:space="preserve"> </w:t>
      </w:r>
      <w:r w:rsidRPr="006221F2">
        <w:rPr>
          <w:szCs w:val="24"/>
        </w:rPr>
        <w:t>d</w:t>
      </w:r>
      <w:r>
        <w:rPr>
          <w:szCs w:val="24"/>
        </w:rPr>
        <w:t xml:space="preserve">e “Muy Alta Calidad Crediticia” por la calificadora Fitch Ratings y en “Alta Calidad Crediticia” por Moody´s y S &amp; P Global Ratings. </w:t>
      </w:r>
      <w:r w:rsidR="002B2D8D">
        <w:rPr>
          <w:szCs w:val="24"/>
        </w:rPr>
        <w:t>Los fundamentos de las tres calificaciones son:</w:t>
      </w:r>
    </w:p>
    <w:p w:rsidR="002B2D8D" w:rsidRPr="00FA49C4" w:rsidRDefault="002B2D8D" w:rsidP="002B2D8D">
      <w:pPr>
        <w:spacing w:after="0"/>
        <w:rPr>
          <w:sz w:val="16"/>
          <w:szCs w:val="16"/>
        </w:rPr>
      </w:pPr>
    </w:p>
    <w:p w:rsidR="002B2D8D" w:rsidRDefault="002B2D8D" w:rsidP="002B2D8D">
      <w:pPr>
        <w:autoSpaceDE w:val="0"/>
        <w:autoSpaceDN w:val="0"/>
        <w:adjustRightInd w:val="0"/>
        <w:spacing w:after="0"/>
        <w:rPr>
          <w:szCs w:val="24"/>
        </w:rPr>
      </w:pPr>
      <w:bookmarkStart w:id="94" w:name="_Hlk529361011"/>
      <w:r>
        <w:rPr>
          <w:szCs w:val="24"/>
        </w:rPr>
        <w:t xml:space="preserve">El 08 de abril de 2020 la agencia calificadora S &amp; P Global Ratings confirmó la calificación crediticia de largo plazo en escala nacional de ´mx A´, pasando a perspectiva negativa. El fundamento, es que </w:t>
      </w:r>
      <w:r w:rsidRPr="00EF3CBE">
        <w:rPr>
          <w:szCs w:val="24"/>
        </w:rPr>
        <w:t>Sinaloa aún considera un desempeño presupuestal con adecuados flujos de efectivo en el mediano plazo, a pesar de mayores presiones a causa de la recesión económica y los efectos de la pandemia del COVID-19. La calificación también considera el bajo nivel de deuda del Estado y una administración financiera prudente. Por otro lado, su posición de liquidez débil y el entorno económico desfavorable limitan la calificación del Estado.</w:t>
      </w:r>
    </w:p>
    <w:p w:rsidR="002B2D8D" w:rsidRDefault="002B2D8D" w:rsidP="002B2D8D">
      <w:pPr>
        <w:autoSpaceDE w:val="0"/>
        <w:autoSpaceDN w:val="0"/>
        <w:adjustRightInd w:val="0"/>
        <w:spacing w:after="0"/>
        <w:rPr>
          <w:szCs w:val="24"/>
        </w:rPr>
      </w:pPr>
    </w:p>
    <w:p w:rsidR="002B2D8D" w:rsidRDefault="002B2D8D" w:rsidP="002B2D8D">
      <w:pPr>
        <w:tabs>
          <w:tab w:val="left" w:pos="0"/>
        </w:tabs>
        <w:spacing w:after="0"/>
        <w:rPr>
          <w:szCs w:val="24"/>
        </w:rPr>
      </w:pPr>
      <w:r>
        <w:rPr>
          <w:szCs w:val="24"/>
        </w:rPr>
        <w:lastRenderedPageBreak/>
        <w:t xml:space="preserve">La agencia calificadora Moody´s publicó el 23 de abril de 2020 actualizó la calificación a la calidad crediticia del Estado en </w:t>
      </w:r>
      <w:r w:rsidRPr="00BC4D33">
        <w:rPr>
          <w:szCs w:val="24"/>
        </w:rPr>
        <w:t>A1.mx</w:t>
      </w:r>
      <w:r>
        <w:rPr>
          <w:szCs w:val="24"/>
        </w:rPr>
        <w:t xml:space="preserve"> de Perspectiva Estable a Negativa. Esto debido a que e</w:t>
      </w:r>
      <w:r w:rsidRPr="00EF3CBE">
        <w:rPr>
          <w:szCs w:val="24"/>
        </w:rPr>
        <w:t xml:space="preserve">l </w:t>
      </w:r>
      <w:r>
        <w:rPr>
          <w:szCs w:val="24"/>
        </w:rPr>
        <w:t>E</w:t>
      </w:r>
      <w:r w:rsidRPr="00EF3CBE">
        <w:rPr>
          <w:szCs w:val="24"/>
        </w:rPr>
        <w:t>stado enfrentará un débil crecimiento en los ingresos por la r</w:t>
      </w:r>
      <w:r>
        <w:rPr>
          <w:szCs w:val="24"/>
        </w:rPr>
        <w:t>ecesión económica nacional y</w:t>
      </w:r>
      <w:r w:rsidRPr="00EF3CBE">
        <w:rPr>
          <w:szCs w:val="24"/>
        </w:rPr>
        <w:t xml:space="preserve"> esto generará presiones financieras que probablemente mermarán su ya ajustada posición de liquidez. La perspectiva también refleja la expect</w:t>
      </w:r>
      <w:r>
        <w:rPr>
          <w:szCs w:val="24"/>
        </w:rPr>
        <w:t>ativa que la deuda pública del E</w:t>
      </w:r>
      <w:r w:rsidRPr="00EF3CBE">
        <w:rPr>
          <w:szCs w:val="24"/>
        </w:rPr>
        <w:t>stado se mantendrá en niveles bajo</w:t>
      </w:r>
    </w:p>
    <w:p w:rsidR="002B2D8D" w:rsidRDefault="002B2D8D" w:rsidP="002B2D8D">
      <w:pPr>
        <w:pStyle w:val="Default"/>
        <w:spacing w:line="276" w:lineRule="auto"/>
        <w:jc w:val="both"/>
        <w:rPr>
          <w:rFonts w:asciiTheme="minorHAnsi" w:hAnsiTheme="minorHAnsi" w:cstheme="minorBidi"/>
          <w:color w:val="auto"/>
        </w:rPr>
      </w:pPr>
    </w:p>
    <w:p w:rsidR="002B2D8D" w:rsidRDefault="002B2D8D" w:rsidP="002B2D8D">
      <w:pPr>
        <w:pStyle w:val="Default"/>
        <w:spacing w:line="276" w:lineRule="auto"/>
        <w:jc w:val="both"/>
        <w:rPr>
          <w:rFonts w:asciiTheme="minorHAnsi" w:hAnsiTheme="minorHAnsi" w:cstheme="minorBidi"/>
          <w:color w:val="auto"/>
        </w:rPr>
      </w:pPr>
      <w:r>
        <w:rPr>
          <w:rFonts w:asciiTheme="minorHAnsi" w:hAnsiTheme="minorHAnsi" w:cstheme="minorBidi"/>
          <w:color w:val="auto"/>
        </w:rPr>
        <w:t>El 02 de septiembre de 2020 l</w:t>
      </w:r>
      <w:r w:rsidRPr="0049262D">
        <w:rPr>
          <w:rFonts w:asciiTheme="minorHAnsi" w:hAnsiTheme="minorHAnsi" w:cstheme="minorBidi"/>
          <w:color w:val="auto"/>
        </w:rPr>
        <w:t xml:space="preserve">a agencia calificadora Fitch Ratings </w:t>
      </w:r>
      <w:r>
        <w:rPr>
          <w:rFonts w:asciiTheme="minorHAnsi" w:hAnsiTheme="minorHAnsi" w:cstheme="minorBidi"/>
          <w:color w:val="auto"/>
        </w:rPr>
        <w:t>ratifico la calificación del Estado</w:t>
      </w:r>
      <w:r w:rsidR="00152B7B">
        <w:rPr>
          <w:rFonts w:asciiTheme="minorHAnsi" w:hAnsiTheme="minorHAnsi" w:cstheme="minorBidi"/>
          <w:color w:val="auto"/>
        </w:rPr>
        <w:t xml:space="preserve"> </w:t>
      </w:r>
      <w:r>
        <w:rPr>
          <w:rFonts w:asciiTheme="minorHAnsi" w:hAnsiTheme="minorHAnsi" w:cstheme="minorBidi"/>
          <w:color w:val="auto"/>
        </w:rPr>
        <w:t xml:space="preserve">en ÁA(mex); perspectiva estable. Los factores clave de la calificación se dividen en tres pilares: </w:t>
      </w:r>
    </w:p>
    <w:p w:rsidR="002B2D8D" w:rsidRPr="001B1B05" w:rsidRDefault="002B2D8D" w:rsidP="002B2D8D">
      <w:pPr>
        <w:pStyle w:val="Default"/>
        <w:spacing w:line="276" w:lineRule="auto"/>
        <w:jc w:val="both"/>
        <w:rPr>
          <w:rFonts w:asciiTheme="minorHAnsi" w:hAnsiTheme="minorHAnsi" w:cstheme="minorBidi"/>
          <w:color w:val="auto"/>
          <w:sz w:val="16"/>
          <w:szCs w:val="16"/>
        </w:rPr>
      </w:pPr>
    </w:p>
    <w:p w:rsidR="002B2D8D" w:rsidRDefault="002B2D8D" w:rsidP="002B2D8D">
      <w:pPr>
        <w:pStyle w:val="Default"/>
        <w:numPr>
          <w:ilvl w:val="0"/>
          <w:numId w:val="20"/>
        </w:numPr>
        <w:spacing w:line="276" w:lineRule="auto"/>
        <w:ind w:left="426" w:hanging="426"/>
        <w:jc w:val="both"/>
        <w:rPr>
          <w:rFonts w:asciiTheme="minorHAnsi" w:hAnsiTheme="minorHAnsi" w:cstheme="minorBidi"/>
          <w:color w:val="auto"/>
        </w:rPr>
      </w:pPr>
      <w:r>
        <w:rPr>
          <w:rFonts w:asciiTheme="minorHAnsi" w:hAnsiTheme="minorHAnsi" w:cstheme="minorBidi"/>
          <w:color w:val="auto"/>
        </w:rPr>
        <w:t xml:space="preserve">Ingreso. Nivel medio la Solidez en los Ingresos. </w:t>
      </w:r>
      <w:r w:rsidRPr="00DD1C60">
        <w:rPr>
          <w:rFonts w:asciiTheme="minorHAnsi" w:hAnsiTheme="minorHAnsi" w:cstheme="minorBidi"/>
          <w:color w:val="auto"/>
        </w:rPr>
        <w:t>El ingreso operativo está relacionado estrechamente con el desempeño de las transferencias nacionales provenientes de la contraparte soberana calificada en ‘BBB-’. Fitch considera que el marco institucional de asignación de transferencias y su evolución son estables y predecibles</w:t>
      </w:r>
      <w:r>
        <w:rPr>
          <w:rFonts w:asciiTheme="minorHAnsi" w:hAnsiTheme="minorHAnsi" w:cstheme="minorBidi"/>
          <w:color w:val="auto"/>
        </w:rPr>
        <w:t>.</w:t>
      </w:r>
      <w:bookmarkEnd w:id="94"/>
    </w:p>
    <w:p w:rsidR="002B2D8D" w:rsidRDefault="002B2D8D" w:rsidP="002B2D8D">
      <w:pPr>
        <w:pStyle w:val="Default"/>
        <w:numPr>
          <w:ilvl w:val="0"/>
          <w:numId w:val="20"/>
        </w:numPr>
        <w:spacing w:line="276" w:lineRule="auto"/>
        <w:ind w:left="426" w:hanging="426"/>
        <w:jc w:val="both"/>
        <w:rPr>
          <w:rFonts w:asciiTheme="minorHAnsi" w:hAnsiTheme="minorHAnsi" w:cstheme="minorBidi"/>
          <w:color w:val="auto"/>
        </w:rPr>
      </w:pPr>
      <w:r>
        <w:rPr>
          <w:rFonts w:asciiTheme="minorHAnsi" w:hAnsiTheme="minorHAnsi" w:cstheme="minorBidi"/>
          <w:color w:val="auto"/>
        </w:rPr>
        <w:t>Gasto</w:t>
      </w:r>
      <w:r w:rsidRPr="00DD1C60">
        <w:rPr>
          <w:rFonts w:asciiTheme="minorHAnsi" w:hAnsiTheme="minorHAnsi" w:cstheme="minorBidi"/>
          <w:color w:val="auto"/>
        </w:rPr>
        <w:t>. Nivel medio la Sostenibilidad de los Gastos. Sinaloa mantiene responsabilidades sobre el gasto anticíclicas (educación) y moderadamente contracíclicas (salud y seguridad pública). Estos compromisos se cubren con ingresos propios y transferencias federales etiquetadas.</w:t>
      </w:r>
      <w:r w:rsidR="00152B7B">
        <w:rPr>
          <w:rFonts w:asciiTheme="minorHAnsi" w:hAnsiTheme="minorHAnsi" w:cstheme="minorBidi"/>
          <w:color w:val="auto"/>
        </w:rPr>
        <w:t xml:space="preserve"> </w:t>
      </w:r>
      <w:r w:rsidRPr="00DD1C60">
        <w:rPr>
          <w:rFonts w:asciiTheme="minorHAnsi" w:hAnsiTheme="minorHAnsi" w:cstheme="minorBidi"/>
          <w:color w:val="auto"/>
        </w:rPr>
        <w:t>Asimismo, se observa un control moderado del gasto operativo (GO).</w:t>
      </w:r>
    </w:p>
    <w:p w:rsidR="002B2D8D" w:rsidRPr="00EF3CBE" w:rsidRDefault="002B2D8D" w:rsidP="002B2D8D">
      <w:pPr>
        <w:pStyle w:val="Default"/>
        <w:numPr>
          <w:ilvl w:val="0"/>
          <w:numId w:val="21"/>
        </w:numPr>
        <w:spacing w:line="276" w:lineRule="auto"/>
        <w:ind w:left="426" w:hanging="426"/>
        <w:jc w:val="both"/>
        <w:rPr>
          <w:rFonts w:asciiTheme="minorHAnsi" w:hAnsiTheme="minorHAnsi" w:cstheme="minorBidi"/>
          <w:color w:val="auto"/>
        </w:rPr>
      </w:pPr>
      <w:r w:rsidRPr="00EF3CBE">
        <w:rPr>
          <w:rFonts w:asciiTheme="minorHAnsi" w:hAnsiTheme="minorHAnsi" w:cstheme="minorBidi"/>
          <w:color w:val="auto"/>
        </w:rPr>
        <w:t>Pasivo y Liquidez. Nivel El Sistema de Alertas de la Secretaría de Hacienda y Crédito Público, clasifica el nivel de endeudamiento de Sinaloa como sostenible. Lo anterior permite al Estado aumentar su grado de endeudamiento de largo plazo hasta en 15% de sus ingresos de libre disposición y hasta 6% de los ingresos totales en forma de deuda de corto plazo. A</w:t>
      </w:r>
      <w:r>
        <w:rPr>
          <w:rFonts w:asciiTheme="minorHAnsi" w:hAnsiTheme="minorHAnsi" w:cstheme="minorBidi"/>
          <w:color w:val="auto"/>
        </w:rPr>
        <w:t>unado a que</w:t>
      </w:r>
      <w:r w:rsidR="00152B7B">
        <w:rPr>
          <w:rFonts w:asciiTheme="minorHAnsi" w:hAnsiTheme="minorHAnsi" w:cstheme="minorBidi"/>
          <w:color w:val="auto"/>
        </w:rPr>
        <w:t xml:space="preserve"> </w:t>
      </w:r>
      <w:r>
        <w:rPr>
          <w:rFonts w:asciiTheme="minorHAnsi" w:hAnsiTheme="minorHAnsi" w:cstheme="minorBidi"/>
          <w:color w:val="auto"/>
        </w:rPr>
        <w:t>e</w:t>
      </w:r>
      <w:r w:rsidRPr="00EF3CBE">
        <w:rPr>
          <w:rFonts w:asciiTheme="minorHAnsi" w:hAnsiTheme="minorHAnsi" w:cstheme="minorBidi"/>
          <w:color w:val="auto"/>
        </w:rPr>
        <w:t xml:space="preserve">l Estado presenta una política de endeudamiento prudente y durante el período de análisis mantuvo una tendencia decreciente. </w:t>
      </w:r>
    </w:p>
    <w:p w:rsidR="00152B7B" w:rsidRDefault="00152B7B">
      <w:pPr>
        <w:spacing w:after="0" w:line="240" w:lineRule="auto"/>
        <w:jc w:val="left"/>
        <w:rPr>
          <w:rFonts w:asciiTheme="minorHAnsi" w:eastAsia="Times New Roman" w:hAnsiTheme="minorHAnsi" w:cstheme="minorBidi"/>
          <w:sz w:val="16"/>
          <w:szCs w:val="16"/>
          <w:lang w:eastAsia="es-MX"/>
        </w:rPr>
      </w:pPr>
      <w:r>
        <w:rPr>
          <w:rFonts w:asciiTheme="minorHAnsi" w:hAnsiTheme="minorHAnsi" w:cstheme="minorBidi"/>
          <w:sz w:val="16"/>
          <w:szCs w:val="16"/>
        </w:rPr>
        <w:br w:type="page"/>
      </w:r>
    </w:p>
    <w:p w:rsidR="002B2D8D" w:rsidRPr="00FA49C4" w:rsidRDefault="002B2D8D" w:rsidP="002B2D8D">
      <w:pPr>
        <w:pStyle w:val="Default"/>
        <w:spacing w:line="276" w:lineRule="auto"/>
        <w:jc w:val="both"/>
        <w:rPr>
          <w:rFonts w:asciiTheme="minorHAnsi" w:hAnsiTheme="minorHAnsi" w:cstheme="minorBidi"/>
          <w:color w:val="auto"/>
          <w:sz w:val="16"/>
          <w:szCs w:val="16"/>
        </w:rPr>
      </w:pPr>
    </w:p>
    <w:p w:rsidR="002B2D8D" w:rsidRDefault="002B2D8D" w:rsidP="002B2D8D">
      <w:pPr>
        <w:spacing w:after="0" w:line="240" w:lineRule="auto"/>
        <w:jc w:val="center"/>
        <w:rPr>
          <w:rFonts w:eastAsia="Times New Roman"/>
          <w:b/>
          <w:bCs/>
          <w:color w:val="000000"/>
          <w:szCs w:val="24"/>
        </w:rPr>
      </w:pPr>
      <w:bookmarkStart w:id="95" w:name="_Hlk529361109"/>
      <w:r w:rsidRPr="00415CA3">
        <w:rPr>
          <w:rFonts w:eastAsia="Times New Roman"/>
          <w:b/>
          <w:bCs/>
          <w:color w:val="000000"/>
          <w:szCs w:val="24"/>
        </w:rPr>
        <w:t xml:space="preserve">CALIFICACIÓN A LA CALIDAD CRÉDITICIA DEL ESTADO DE SINALOA </w:t>
      </w:r>
    </w:p>
    <w:p w:rsidR="002B2D8D" w:rsidRDefault="002B2D8D" w:rsidP="002B2D8D">
      <w:pPr>
        <w:autoSpaceDE w:val="0"/>
        <w:autoSpaceDN w:val="0"/>
        <w:adjustRightInd w:val="0"/>
        <w:spacing w:after="0"/>
        <w:ind w:firstLine="284"/>
        <w:jc w:val="center"/>
        <w:rPr>
          <w:rFonts w:eastAsia="Times New Roman"/>
          <w:b/>
          <w:bCs/>
          <w:color w:val="000000"/>
          <w:szCs w:val="24"/>
        </w:rPr>
      </w:pPr>
      <w:r>
        <w:rPr>
          <w:rFonts w:eastAsia="Times New Roman"/>
          <w:b/>
          <w:bCs/>
          <w:color w:val="000000"/>
          <w:szCs w:val="24"/>
        </w:rPr>
        <w:t>2014</w:t>
      </w:r>
      <w:r w:rsidRPr="00415CA3">
        <w:rPr>
          <w:rFonts w:eastAsia="Times New Roman"/>
          <w:b/>
          <w:bCs/>
          <w:color w:val="000000"/>
          <w:szCs w:val="24"/>
        </w:rPr>
        <w:t>-</w:t>
      </w:r>
      <w:r>
        <w:rPr>
          <w:rFonts w:eastAsia="Times New Roman"/>
          <w:b/>
          <w:bCs/>
          <w:color w:val="000000"/>
          <w:szCs w:val="24"/>
        </w:rPr>
        <w:t>2020</w:t>
      </w:r>
    </w:p>
    <w:tbl>
      <w:tblPr>
        <w:tblW w:w="11259" w:type="dxa"/>
        <w:jc w:val="center"/>
        <w:tblCellMar>
          <w:left w:w="70" w:type="dxa"/>
          <w:right w:w="70" w:type="dxa"/>
        </w:tblCellMar>
        <w:tblLook w:val="04A0" w:firstRow="1" w:lastRow="0" w:firstColumn="1" w:lastColumn="0" w:noHBand="0" w:noVBand="1"/>
      </w:tblPr>
      <w:tblGrid>
        <w:gridCol w:w="2478"/>
        <w:gridCol w:w="797"/>
        <w:gridCol w:w="425"/>
        <w:gridCol w:w="858"/>
        <w:gridCol w:w="418"/>
        <w:gridCol w:w="858"/>
        <w:gridCol w:w="418"/>
        <w:gridCol w:w="858"/>
        <w:gridCol w:w="418"/>
        <w:gridCol w:w="858"/>
        <w:gridCol w:w="339"/>
        <w:gridCol w:w="996"/>
        <w:gridCol w:w="339"/>
        <w:gridCol w:w="860"/>
        <w:gridCol w:w="339"/>
      </w:tblGrid>
      <w:tr w:rsidR="002B2D8D" w:rsidRPr="00C61F6A" w:rsidTr="002B2D8D">
        <w:trPr>
          <w:trHeight w:val="510"/>
          <w:jc w:val="center"/>
        </w:trPr>
        <w:tc>
          <w:tcPr>
            <w:tcW w:w="2541" w:type="dxa"/>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CALIFICADORAS</w:t>
            </w:r>
          </w:p>
        </w:tc>
        <w:tc>
          <w:tcPr>
            <w:tcW w:w="122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2014</w:t>
            </w:r>
          </w:p>
        </w:tc>
        <w:tc>
          <w:tcPr>
            <w:tcW w:w="127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2015</w:t>
            </w:r>
          </w:p>
        </w:tc>
        <w:tc>
          <w:tcPr>
            <w:tcW w:w="127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2016</w:t>
            </w:r>
          </w:p>
        </w:tc>
        <w:tc>
          <w:tcPr>
            <w:tcW w:w="127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2017</w:t>
            </w:r>
          </w:p>
        </w:tc>
        <w:tc>
          <w:tcPr>
            <w:tcW w:w="113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2018</w:t>
            </w:r>
          </w:p>
        </w:tc>
        <w:tc>
          <w:tcPr>
            <w:tcW w:w="996" w:type="dxa"/>
            <w:tcBorders>
              <w:top w:val="single" w:sz="4" w:space="0" w:color="auto"/>
              <w:left w:val="single" w:sz="4" w:space="0" w:color="FFFFFF" w:themeColor="background1"/>
              <w:bottom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2019</w:t>
            </w:r>
          </w:p>
        </w:tc>
        <w:tc>
          <w:tcPr>
            <w:tcW w:w="339" w:type="dxa"/>
            <w:tcBorders>
              <w:top w:val="single" w:sz="4" w:space="0" w:color="auto"/>
              <w:bottom w:val="single" w:sz="4" w:space="0" w:color="FFFFFF" w:themeColor="background1"/>
              <w:right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 </w:t>
            </w:r>
          </w:p>
        </w:tc>
        <w:tc>
          <w:tcPr>
            <w:tcW w:w="860" w:type="dxa"/>
            <w:tcBorders>
              <w:top w:val="single" w:sz="4" w:space="0" w:color="auto"/>
              <w:left w:val="single" w:sz="4" w:space="0" w:color="FFFFFF" w:themeColor="background1"/>
              <w:bottom w:val="single" w:sz="4" w:space="0" w:color="FFFFFF" w:themeColor="background1"/>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2020</w:t>
            </w:r>
          </w:p>
        </w:tc>
        <w:tc>
          <w:tcPr>
            <w:tcW w:w="339" w:type="dxa"/>
            <w:tcBorders>
              <w:top w:val="single" w:sz="4" w:space="0" w:color="auto"/>
              <w:bottom w:val="single" w:sz="4" w:space="0" w:color="FFFFFF" w:themeColor="background1"/>
              <w:right w:val="single" w:sz="4" w:space="0" w:color="auto"/>
            </w:tcBorders>
            <w:shd w:val="clear" w:color="000000" w:fill="800000"/>
            <w:vAlign w:val="center"/>
            <w:hideMark/>
          </w:tcPr>
          <w:p w:rsidR="002B2D8D" w:rsidRPr="00C61F6A" w:rsidRDefault="002B2D8D" w:rsidP="002B2D8D">
            <w:pPr>
              <w:spacing w:after="0" w:line="240" w:lineRule="auto"/>
              <w:jc w:val="center"/>
              <w:rPr>
                <w:rFonts w:eastAsia="Times New Roman" w:cs="Calibri"/>
                <w:b/>
                <w:bCs/>
                <w:color w:val="FFFFFF"/>
                <w:sz w:val="18"/>
                <w:szCs w:val="18"/>
              </w:rPr>
            </w:pPr>
            <w:r w:rsidRPr="00C61F6A">
              <w:rPr>
                <w:rFonts w:eastAsia="Times New Roman" w:cs="Calibri"/>
                <w:b/>
                <w:bCs/>
                <w:color w:val="FFFFFF"/>
                <w:sz w:val="18"/>
                <w:szCs w:val="18"/>
              </w:rPr>
              <w:t> </w:t>
            </w:r>
          </w:p>
        </w:tc>
      </w:tr>
      <w:tr w:rsidR="002B2D8D" w:rsidRPr="00C61F6A" w:rsidTr="002B2D8D">
        <w:trPr>
          <w:trHeight w:val="454"/>
          <w:jc w:val="center"/>
        </w:trPr>
        <w:tc>
          <w:tcPr>
            <w:tcW w:w="254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2B2D8D" w:rsidRPr="00B721DF" w:rsidRDefault="002B2D8D" w:rsidP="002B2D8D">
            <w:pPr>
              <w:spacing w:after="0" w:line="240" w:lineRule="auto"/>
              <w:rPr>
                <w:rFonts w:eastAsia="Times New Roman" w:cs="Calibri"/>
                <w:bCs/>
                <w:color w:val="000000"/>
                <w:sz w:val="18"/>
                <w:szCs w:val="18"/>
              </w:rPr>
            </w:pPr>
            <w:r w:rsidRPr="00B721DF">
              <w:rPr>
                <w:rFonts w:eastAsia="Times New Roman" w:cs="Calibri"/>
                <w:bCs/>
                <w:color w:val="000000"/>
                <w:sz w:val="18"/>
                <w:szCs w:val="18"/>
              </w:rPr>
              <w:t>Fitch Ratings</w:t>
            </w:r>
          </w:p>
        </w:tc>
        <w:tc>
          <w:tcPr>
            <w:tcW w:w="797"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 (mex)</w:t>
            </w:r>
          </w:p>
        </w:tc>
        <w:tc>
          <w:tcPr>
            <w:tcW w:w="42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 (mex)</w:t>
            </w:r>
          </w:p>
        </w:tc>
        <w:tc>
          <w:tcPr>
            <w:tcW w:w="41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 (mex)</w:t>
            </w:r>
          </w:p>
        </w:tc>
        <w:tc>
          <w:tcPr>
            <w:tcW w:w="41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 (mex)</w:t>
            </w:r>
          </w:p>
        </w:tc>
        <w:tc>
          <w:tcPr>
            <w:tcW w:w="41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 (mex)</w:t>
            </w:r>
          </w:p>
        </w:tc>
        <w:tc>
          <w:tcPr>
            <w:tcW w:w="27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996"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AA- (mex)</w:t>
            </w:r>
          </w:p>
        </w:tc>
        <w:tc>
          <w:tcPr>
            <w:tcW w:w="33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r>
              <w:rPr>
                <w:rFonts w:eastAsia="Times New Roman" w:cs="Calibri"/>
                <w:color w:val="000000"/>
                <w:sz w:val="18"/>
                <w:szCs w:val="18"/>
              </w:rPr>
              <w:t>*</w:t>
            </w:r>
            <w:r w:rsidRPr="00C61F6A">
              <w:rPr>
                <w:rFonts w:eastAsia="Times New Roman" w:cs="Calibri"/>
                <w:color w:val="000000"/>
                <w:sz w:val="18"/>
                <w:szCs w:val="18"/>
              </w:rPr>
              <w:t>)</w:t>
            </w:r>
          </w:p>
        </w:tc>
        <w:tc>
          <w:tcPr>
            <w:tcW w:w="860"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AA (mex)</w:t>
            </w:r>
          </w:p>
        </w:tc>
        <w:tc>
          <w:tcPr>
            <w:tcW w:w="339"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FFFFFF"/>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r>
      <w:tr w:rsidR="002B2D8D" w:rsidRPr="00C61F6A" w:rsidTr="002B2D8D">
        <w:trPr>
          <w:trHeight w:val="454"/>
          <w:jc w:val="center"/>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2B2D8D" w:rsidRPr="00B721DF" w:rsidRDefault="002B2D8D" w:rsidP="002B2D8D">
            <w:pPr>
              <w:spacing w:after="0" w:line="240" w:lineRule="auto"/>
              <w:rPr>
                <w:rFonts w:eastAsia="Times New Roman" w:cs="Calibri"/>
                <w:bCs/>
                <w:color w:val="000000"/>
                <w:sz w:val="18"/>
                <w:szCs w:val="18"/>
              </w:rPr>
            </w:pPr>
            <w:r w:rsidRPr="00B721DF">
              <w:rPr>
                <w:rFonts w:eastAsia="Times New Roman" w:cs="Calibri"/>
                <w:bCs/>
                <w:color w:val="000000"/>
                <w:sz w:val="18"/>
                <w:szCs w:val="18"/>
              </w:rPr>
              <w:t>Moody´s Investors Service</w:t>
            </w:r>
          </w:p>
        </w:tc>
        <w:tc>
          <w:tcPr>
            <w:tcW w:w="797"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42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276" w:type="dxa"/>
            <w:tcBorders>
              <w:top w:val="single" w:sz="4" w:space="0" w:color="auto"/>
              <w:left w:val="single" w:sz="4" w:space="0" w:color="FFFFFF" w:themeColor="background1"/>
              <w:bottom w:val="single" w:sz="4" w:space="0" w:color="auto"/>
              <w:right w:val="single" w:sz="4" w:space="0" w:color="auto"/>
            </w:tcBorders>
            <w:shd w:val="clear" w:color="000000" w:fill="FFFFFF"/>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996"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339" w:type="dxa"/>
            <w:tcBorders>
              <w:top w:val="nil"/>
              <w:left w:val="single" w:sz="4" w:space="0" w:color="FFFFFF" w:themeColor="background1"/>
              <w:bottom w:val="single" w:sz="4" w:space="0" w:color="auto"/>
              <w:right w:val="single" w:sz="4" w:space="0" w:color="auto"/>
            </w:tcBorders>
            <w:shd w:val="clear" w:color="000000" w:fill="FFFFFF"/>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60"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A1.mx</w:t>
            </w:r>
          </w:p>
        </w:tc>
        <w:tc>
          <w:tcPr>
            <w:tcW w:w="339" w:type="dxa"/>
            <w:tcBorders>
              <w:top w:val="single" w:sz="4" w:space="0" w:color="auto"/>
              <w:left w:val="single" w:sz="4" w:space="0" w:color="FFFFFF" w:themeColor="background1"/>
              <w:bottom w:val="single" w:sz="4" w:space="0" w:color="auto"/>
              <w:right w:val="single" w:sz="4" w:space="0" w:color="auto"/>
            </w:tcBorders>
            <w:shd w:val="clear" w:color="000000" w:fill="FFFFFF"/>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r>
      <w:tr w:rsidR="002B2D8D" w:rsidRPr="00C61F6A" w:rsidTr="002B2D8D">
        <w:trPr>
          <w:trHeight w:val="454"/>
          <w:jc w:val="center"/>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2B2D8D" w:rsidRPr="00F837E1" w:rsidRDefault="002B2D8D" w:rsidP="002B2D8D">
            <w:pPr>
              <w:spacing w:after="0" w:line="240" w:lineRule="auto"/>
              <w:rPr>
                <w:rFonts w:eastAsia="Times New Roman" w:cs="Calibri"/>
                <w:bCs/>
                <w:color w:val="000000"/>
                <w:sz w:val="18"/>
                <w:szCs w:val="18"/>
                <w:lang w:val="en-US"/>
              </w:rPr>
            </w:pPr>
            <w:r w:rsidRPr="00F837E1">
              <w:rPr>
                <w:rFonts w:eastAsia="Times New Roman" w:cs="Calibri"/>
                <w:bCs/>
                <w:color w:val="000000"/>
                <w:sz w:val="18"/>
                <w:szCs w:val="18"/>
                <w:lang w:val="en-US"/>
              </w:rPr>
              <w:t>Standard &amp; Poor´s (S&amp;P Global)</w:t>
            </w:r>
          </w:p>
        </w:tc>
        <w:tc>
          <w:tcPr>
            <w:tcW w:w="797"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42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auto" w:fill="auto"/>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418"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58"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276" w:type="dxa"/>
            <w:tcBorders>
              <w:top w:val="single" w:sz="4" w:space="0" w:color="auto"/>
              <w:left w:val="single" w:sz="4" w:space="0" w:color="FFFFFF" w:themeColor="background1"/>
              <w:bottom w:val="single" w:sz="4" w:space="0" w:color="auto"/>
              <w:right w:val="single" w:sz="4" w:space="0" w:color="auto"/>
            </w:tcBorders>
            <w:shd w:val="clear" w:color="000000" w:fill="FFFFFF"/>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996"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339" w:type="dxa"/>
            <w:tcBorders>
              <w:top w:val="nil"/>
              <w:left w:val="single" w:sz="4" w:space="0" w:color="FFFFFF" w:themeColor="background1"/>
              <w:bottom w:val="single" w:sz="4" w:space="0" w:color="auto"/>
              <w:right w:val="single" w:sz="4" w:space="0" w:color="auto"/>
            </w:tcBorders>
            <w:shd w:val="clear" w:color="000000" w:fill="FFFFFF"/>
            <w:noWrap/>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c>
          <w:tcPr>
            <w:tcW w:w="860" w:type="dxa"/>
            <w:tcBorders>
              <w:top w:val="nil"/>
              <w:left w:val="nil"/>
              <w:bottom w:val="single" w:sz="4" w:space="0" w:color="auto"/>
              <w:right w:val="single" w:sz="4" w:space="0" w:color="FFFFFF" w:themeColor="background1"/>
            </w:tcBorders>
            <w:shd w:val="clear" w:color="000000" w:fill="FFFFFF"/>
            <w:vAlign w:val="center"/>
            <w:hideMark/>
          </w:tcPr>
          <w:p w:rsidR="002B2D8D" w:rsidRPr="00C61F6A" w:rsidRDefault="002B2D8D" w:rsidP="002B2D8D">
            <w:pPr>
              <w:spacing w:after="0" w:line="240" w:lineRule="auto"/>
              <w:jc w:val="right"/>
              <w:rPr>
                <w:rFonts w:eastAsia="Times New Roman" w:cs="Calibri"/>
                <w:color w:val="000000"/>
                <w:sz w:val="18"/>
                <w:szCs w:val="18"/>
              </w:rPr>
            </w:pPr>
            <w:r w:rsidRPr="00C61F6A">
              <w:rPr>
                <w:rFonts w:eastAsia="Times New Roman" w:cs="Calibri"/>
                <w:color w:val="000000"/>
                <w:sz w:val="18"/>
                <w:szCs w:val="18"/>
              </w:rPr>
              <w:t>mxA</w:t>
            </w:r>
          </w:p>
        </w:tc>
        <w:tc>
          <w:tcPr>
            <w:tcW w:w="339" w:type="dxa"/>
            <w:tcBorders>
              <w:top w:val="single" w:sz="4" w:space="0" w:color="auto"/>
              <w:left w:val="single" w:sz="4" w:space="0" w:color="FFFFFF" w:themeColor="background1"/>
              <w:bottom w:val="single" w:sz="4" w:space="0" w:color="auto"/>
              <w:right w:val="single" w:sz="4" w:space="0" w:color="auto"/>
            </w:tcBorders>
            <w:shd w:val="clear" w:color="000000" w:fill="FFFFFF"/>
            <w:vAlign w:val="center"/>
            <w:hideMark/>
          </w:tcPr>
          <w:p w:rsidR="002B2D8D" w:rsidRPr="00C61F6A" w:rsidRDefault="002B2D8D" w:rsidP="002B2D8D">
            <w:pPr>
              <w:spacing w:after="0" w:line="240" w:lineRule="auto"/>
              <w:rPr>
                <w:rFonts w:eastAsia="Times New Roman" w:cs="Calibri"/>
                <w:color w:val="000000"/>
                <w:sz w:val="18"/>
                <w:szCs w:val="18"/>
              </w:rPr>
            </w:pPr>
            <w:r w:rsidRPr="00C61F6A">
              <w:rPr>
                <w:rFonts w:eastAsia="Times New Roman" w:cs="Calibri"/>
                <w:color w:val="000000"/>
                <w:sz w:val="18"/>
                <w:szCs w:val="18"/>
              </w:rPr>
              <w:t>(-)</w:t>
            </w:r>
          </w:p>
        </w:tc>
      </w:tr>
    </w:tbl>
    <w:p w:rsidR="002B2D8D" w:rsidRDefault="002B2D8D" w:rsidP="002B2D8D">
      <w:pPr>
        <w:spacing w:before="80" w:after="0" w:line="240" w:lineRule="auto"/>
        <w:rPr>
          <w:rFonts w:eastAsia="Times New Roman" w:cs="Calibri"/>
          <w:color w:val="000000"/>
          <w:sz w:val="18"/>
          <w:szCs w:val="18"/>
        </w:rPr>
      </w:pPr>
      <w:r>
        <w:rPr>
          <w:rFonts w:eastAsia="Times New Roman" w:cs="Calibri"/>
          <w:color w:val="000000"/>
          <w:sz w:val="18"/>
          <w:szCs w:val="18"/>
        </w:rPr>
        <w:t>AA (mex): Muy Alta Calidad Crediticia</w:t>
      </w:r>
    </w:p>
    <w:p w:rsidR="002B2D8D" w:rsidRDefault="002B2D8D" w:rsidP="002B2D8D">
      <w:pPr>
        <w:spacing w:after="0" w:line="240" w:lineRule="auto"/>
        <w:rPr>
          <w:rFonts w:eastAsia="Times New Roman" w:cs="Calibri"/>
          <w:color w:val="000000"/>
          <w:sz w:val="18"/>
          <w:szCs w:val="18"/>
        </w:rPr>
      </w:pPr>
      <w:r>
        <w:rPr>
          <w:rFonts w:eastAsia="Times New Roman" w:cs="Calibri"/>
          <w:color w:val="000000"/>
          <w:sz w:val="18"/>
          <w:szCs w:val="18"/>
        </w:rPr>
        <w:t>A</w:t>
      </w:r>
      <w:r w:rsidRPr="00A259F6">
        <w:rPr>
          <w:rFonts w:eastAsia="Times New Roman" w:cs="Calibri"/>
          <w:color w:val="000000"/>
          <w:sz w:val="18"/>
          <w:szCs w:val="18"/>
        </w:rPr>
        <w:t xml:space="preserve"> (mex):Alta Calidad Crediticia</w:t>
      </w:r>
    </w:p>
    <w:p w:rsidR="002B2D8D" w:rsidRDefault="002B2D8D" w:rsidP="002B2D8D">
      <w:pPr>
        <w:spacing w:after="0" w:line="240" w:lineRule="auto"/>
        <w:rPr>
          <w:rFonts w:eastAsia="Times New Roman" w:cs="Calibri"/>
          <w:color w:val="000000"/>
          <w:sz w:val="18"/>
          <w:szCs w:val="18"/>
        </w:rPr>
      </w:pPr>
      <w:r w:rsidRPr="00A259F6">
        <w:rPr>
          <w:rFonts w:eastAsia="Times New Roman" w:cs="Calibri"/>
          <w:color w:val="000000"/>
          <w:sz w:val="18"/>
          <w:szCs w:val="18"/>
        </w:rPr>
        <w:t>mxA:          Alta Calidad Crediticia</w:t>
      </w:r>
    </w:p>
    <w:p w:rsidR="002B2D8D" w:rsidRDefault="002B2D8D" w:rsidP="002B2D8D">
      <w:pPr>
        <w:spacing w:after="0" w:line="240" w:lineRule="auto"/>
        <w:rPr>
          <w:rFonts w:eastAsia="Times New Roman" w:cs="Calibri"/>
          <w:color w:val="000000"/>
          <w:sz w:val="18"/>
          <w:szCs w:val="18"/>
        </w:rPr>
      </w:pPr>
      <w:r w:rsidRPr="00A259F6">
        <w:rPr>
          <w:rFonts w:eastAsia="Times New Roman" w:cs="Calibri"/>
          <w:color w:val="000000"/>
          <w:sz w:val="18"/>
          <w:szCs w:val="18"/>
        </w:rPr>
        <w:t xml:space="preserve">A1.mx:  Alta Calidad Crediticia (en estrato más alta de </w:t>
      </w:r>
      <w:r w:rsidR="007F0A36" w:rsidRPr="00A259F6">
        <w:rPr>
          <w:rFonts w:eastAsia="Times New Roman" w:cs="Calibri"/>
          <w:color w:val="000000"/>
          <w:sz w:val="18"/>
          <w:szCs w:val="18"/>
        </w:rPr>
        <w:t>la categoría</w:t>
      </w:r>
      <w:r w:rsidRPr="00A259F6">
        <w:rPr>
          <w:rFonts w:eastAsia="Times New Roman" w:cs="Calibri"/>
          <w:color w:val="000000"/>
          <w:sz w:val="18"/>
          <w:szCs w:val="18"/>
        </w:rPr>
        <w:t>)</w:t>
      </w:r>
    </w:p>
    <w:p w:rsidR="002B2D8D" w:rsidRDefault="002B2D8D" w:rsidP="002B2D8D">
      <w:pPr>
        <w:spacing w:after="0" w:line="240" w:lineRule="auto"/>
        <w:rPr>
          <w:rFonts w:eastAsia="Times New Roman" w:cs="Calibri"/>
          <w:color w:val="000000"/>
          <w:sz w:val="18"/>
          <w:szCs w:val="18"/>
        </w:rPr>
      </w:pPr>
      <w:r w:rsidRPr="00A259F6">
        <w:rPr>
          <w:rFonts w:eastAsia="Times New Roman" w:cs="Calibri"/>
          <w:color w:val="000000"/>
          <w:sz w:val="18"/>
          <w:szCs w:val="18"/>
        </w:rPr>
        <w:t>A2.mx:       Alta Calidad Crediticia</w:t>
      </w:r>
    </w:p>
    <w:p w:rsidR="002B2D8D" w:rsidRDefault="002B2D8D" w:rsidP="002B2D8D">
      <w:pPr>
        <w:spacing w:after="0" w:line="240" w:lineRule="auto"/>
        <w:rPr>
          <w:rFonts w:eastAsia="Times New Roman" w:cs="Calibri"/>
          <w:color w:val="000000"/>
          <w:sz w:val="18"/>
          <w:szCs w:val="18"/>
        </w:rPr>
      </w:pPr>
      <w:r w:rsidRPr="00A259F6">
        <w:rPr>
          <w:rFonts w:eastAsia="Times New Roman" w:cs="Calibri"/>
          <w:color w:val="000000"/>
          <w:sz w:val="18"/>
          <w:szCs w:val="18"/>
        </w:rPr>
        <w:t>(-) Perspectiva Negativa</w:t>
      </w:r>
    </w:p>
    <w:p w:rsidR="002B2D8D" w:rsidRDefault="002B2D8D" w:rsidP="002B2D8D">
      <w:pPr>
        <w:spacing w:after="0" w:line="240" w:lineRule="auto"/>
        <w:rPr>
          <w:rFonts w:eastAsia="Times New Roman" w:cs="Calibri"/>
          <w:color w:val="000000"/>
          <w:sz w:val="18"/>
          <w:szCs w:val="18"/>
        </w:rPr>
      </w:pPr>
      <w:r w:rsidRPr="00A259F6">
        <w:rPr>
          <w:rFonts w:eastAsia="Times New Roman" w:cs="Calibri"/>
          <w:color w:val="000000"/>
          <w:sz w:val="18"/>
          <w:szCs w:val="18"/>
        </w:rPr>
        <w:t>(*) Perspectiva Estable</w:t>
      </w:r>
    </w:p>
    <w:p w:rsidR="002B2D8D" w:rsidRPr="00CD0BBD" w:rsidRDefault="002B2D8D" w:rsidP="002B2D8D">
      <w:pPr>
        <w:spacing w:after="0" w:line="240" w:lineRule="auto"/>
        <w:rPr>
          <w:rFonts w:eastAsia="Times New Roman"/>
          <w:color w:val="000000"/>
          <w:sz w:val="18"/>
          <w:szCs w:val="18"/>
        </w:rPr>
      </w:pPr>
      <w:r w:rsidRPr="00A259F6">
        <w:rPr>
          <w:rFonts w:eastAsia="Times New Roman" w:cs="Calibri"/>
          <w:color w:val="000000"/>
          <w:sz w:val="18"/>
          <w:szCs w:val="18"/>
        </w:rPr>
        <w:t>(+) Perspectiva Positiva</w:t>
      </w:r>
    </w:p>
    <w:p w:rsidR="002B2D8D" w:rsidRDefault="002B2D8D" w:rsidP="002B2D8D">
      <w:pPr>
        <w:autoSpaceDE w:val="0"/>
        <w:autoSpaceDN w:val="0"/>
        <w:adjustRightInd w:val="0"/>
        <w:spacing w:after="0"/>
        <w:ind w:firstLine="284"/>
        <w:jc w:val="center"/>
        <w:rPr>
          <w:szCs w:val="24"/>
        </w:rPr>
      </w:pPr>
    </w:p>
    <w:bookmarkEnd w:id="95"/>
    <w:p w:rsidR="002B2D8D" w:rsidRPr="00CD0BBD" w:rsidRDefault="002B2D8D" w:rsidP="002B2D8D">
      <w:pPr>
        <w:spacing w:after="0" w:line="240" w:lineRule="auto"/>
        <w:rPr>
          <w:rFonts w:eastAsia="Times New Roman"/>
          <w:color w:val="000000"/>
          <w:sz w:val="18"/>
          <w:szCs w:val="18"/>
        </w:rPr>
      </w:pPr>
    </w:p>
    <w:p w:rsidR="00E57CF1" w:rsidRPr="00CD0BBD" w:rsidRDefault="00E57CF1" w:rsidP="00E57CF1">
      <w:pPr>
        <w:spacing w:after="0" w:line="240" w:lineRule="auto"/>
        <w:rPr>
          <w:rFonts w:eastAsia="Times New Roman"/>
          <w:color w:val="000000"/>
          <w:sz w:val="18"/>
          <w:szCs w:val="18"/>
        </w:rPr>
      </w:pPr>
    </w:p>
    <w:p w:rsidR="00600285" w:rsidRPr="005F18CC" w:rsidRDefault="00600285" w:rsidP="00600285">
      <w:pPr>
        <w:pStyle w:val="Ttulo1"/>
        <w:rPr>
          <w:rFonts w:asciiTheme="minorHAnsi" w:hAnsiTheme="minorHAnsi" w:cstheme="minorHAnsi"/>
        </w:rPr>
      </w:pPr>
      <w:bookmarkStart w:id="96" w:name="_Toc55491787"/>
      <w:r w:rsidRPr="005F18CC">
        <w:rPr>
          <w:rFonts w:asciiTheme="minorHAnsi" w:hAnsiTheme="minorHAnsi" w:cstheme="minorHAnsi"/>
        </w:rPr>
        <w:lastRenderedPageBreak/>
        <w:t>IV. POSICIÓN FINANCIERA DEL GOBIERNO DEL ESTADO DE SINALOA</w:t>
      </w:r>
      <w:bookmarkEnd w:id="96"/>
    </w:p>
    <w:p w:rsidR="00600285" w:rsidRPr="005F18CC" w:rsidRDefault="00600285" w:rsidP="00600285">
      <w:pPr>
        <w:pStyle w:val="Ttulo2"/>
        <w:rPr>
          <w:rFonts w:asciiTheme="minorHAnsi" w:hAnsiTheme="minorHAnsi" w:cstheme="minorHAnsi"/>
        </w:rPr>
      </w:pPr>
      <w:bookmarkStart w:id="97" w:name="_Toc521935727"/>
      <w:bookmarkStart w:id="98" w:name="_Toc55491788"/>
      <w:r w:rsidRPr="00600285">
        <w:rPr>
          <w:rFonts w:asciiTheme="minorHAnsi" w:hAnsiTheme="minorHAnsi" w:cstheme="minorHAnsi"/>
        </w:rPr>
        <w:t xml:space="preserve">4. ESTADO </w:t>
      </w:r>
      <w:r w:rsidR="00E57CF1">
        <w:rPr>
          <w:rFonts w:asciiTheme="minorHAnsi" w:hAnsiTheme="minorHAnsi" w:cstheme="minorHAnsi"/>
        </w:rPr>
        <w:t>DE LA SITUACIÓN FINANCIERA AL 30</w:t>
      </w:r>
      <w:r w:rsidRPr="00600285">
        <w:rPr>
          <w:rFonts w:asciiTheme="minorHAnsi" w:hAnsiTheme="minorHAnsi" w:cstheme="minorHAnsi"/>
        </w:rPr>
        <w:t xml:space="preserve"> DE </w:t>
      </w:r>
      <w:r w:rsidR="009E0917">
        <w:rPr>
          <w:rFonts w:asciiTheme="minorHAnsi" w:hAnsiTheme="minorHAnsi" w:cstheme="minorHAnsi"/>
        </w:rPr>
        <w:t>SE</w:t>
      </w:r>
      <w:r w:rsidR="006E2BF1">
        <w:rPr>
          <w:rFonts w:asciiTheme="minorHAnsi" w:hAnsiTheme="minorHAnsi" w:cstheme="minorHAnsi"/>
        </w:rPr>
        <w:t>PTIEMBRE</w:t>
      </w:r>
      <w:r w:rsidRPr="00600285">
        <w:rPr>
          <w:rFonts w:asciiTheme="minorHAnsi" w:hAnsiTheme="minorHAnsi" w:cstheme="minorHAnsi"/>
        </w:rPr>
        <w:t xml:space="preserve"> DEL 20</w:t>
      </w:r>
      <w:bookmarkEnd w:id="97"/>
      <w:r w:rsidR="00203D6F">
        <w:rPr>
          <w:rFonts w:asciiTheme="minorHAnsi" w:hAnsiTheme="minorHAnsi" w:cstheme="minorHAnsi"/>
        </w:rPr>
        <w:t>20</w:t>
      </w:r>
      <w:bookmarkEnd w:id="98"/>
    </w:p>
    <w:p w:rsidR="000F44B2" w:rsidRDefault="009E0917" w:rsidP="000F44B2">
      <w:r w:rsidRPr="009E0917">
        <w:rPr>
          <w:noProof/>
          <w:lang w:eastAsia="es-MX"/>
        </w:rPr>
        <w:drawing>
          <wp:inline distT="0" distB="0" distL="0" distR="0">
            <wp:extent cx="5581015" cy="4831380"/>
            <wp:effectExtent l="19050" t="0" r="0" b="0"/>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5581015" cy="4831380"/>
                    </a:xfrm>
                    <a:prstGeom prst="rect">
                      <a:avLst/>
                    </a:prstGeom>
                    <a:noFill/>
                    <a:ln w="9525">
                      <a:noFill/>
                      <a:miter lim="800000"/>
                      <a:headEnd/>
                      <a:tailEnd/>
                    </a:ln>
                  </pic:spPr>
                </pic:pic>
              </a:graphicData>
            </a:graphic>
          </wp:inline>
        </w:drawing>
      </w:r>
    </w:p>
    <w:p w:rsidR="000F44B2" w:rsidRDefault="000F44B2" w:rsidP="000F44B2">
      <w:pPr>
        <w:rPr>
          <w:rFonts w:eastAsia="Times New Roman"/>
          <w:color w:val="262626"/>
        </w:rPr>
      </w:pPr>
      <w:r>
        <w:br w:type="page"/>
      </w:r>
    </w:p>
    <w:p w:rsidR="000C1777" w:rsidRDefault="00440F65" w:rsidP="00A3040D">
      <w:pPr>
        <w:pStyle w:val="Ttulo3"/>
        <w:ind w:left="426" w:hanging="426"/>
        <w:rPr>
          <w:rFonts w:asciiTheme="minorHAnsi" w:hAnsiTheme="minorHAnsi" w:cstheme="minorHAnsi"/>
          <w:szCs w:val="24"/>
        </w:rPr>
      </w:pPr>
      <w:bookmarkStart w:id="99" w:name="_Toc55491789"/>
      <w:r w:rsidRPr="008B072E">
        <w:rPr>
          <w:rFonts w:asciiTheme="minorHAnsi" w:hAnsiTheme="minorHAnsi" w:cstheme="minorHAnsi"/>
          <w:szCs w:val="24"/>
        </w:rPr>
        <w:lastRenderedPageBreak/>
        <w:t>4</w:t>
      </w:r>
      <w:r w:rsidR="00746635" w:rsidRPr="008B072E">
        <w:rPr>
          <w:rFonts w:asciiTheme="minorHAnsi" w:hAnsiTheme="minorHAnsi" w:cstheme="minorHAnsi"/>
          <w:szCs w:val="24"/>
        </w:rPr>
        <w:t xml:space="preserve">.1. NOTAS </w:t>
      </w:r>
      <w:bookmarkEnd w:id="0"/>
      <w:bookmarkEnd w:id="1"/>
      <w:r w:rsidR="009E0917">
        <w:rPr>
          <w:rFonts w:asciiTheme="minorHAnsi" w:hAnsiTheme="minorHAnsi" w:cstheme="minorHAnsi"/>
          <w:szCs w:val="24"/>
        </w:rPr>
        <w:t>DE DESGLOSE AL ESTADO DE SITUACIÓN FINANCIERA AL 30 DE SEPTIEMBRE DE 2020</w:t>
      </w:r>
      <w:bookmarkEnd w:id="99"/>
    </w:p>
    <w:p w:rsidR="009E0917" w:rsidRDefault="009E0917" w:rsidP="009E0917">
      <w:pPr>
        <w:rPr>
          <w:rFonts w:cs="Calibri"/>
          <w:b/>
          <w:color w:val="000000"/>
          <w:sz w:val="22"/>
        </w:rPr>
      </w:pPr>
    </w:p>
    <w:p w:rsidR="009E0917" w:rsidRDefault="009E0917" w:rsidP="009E0917">
      <w:pPr>
        <w:rPr>
          <w:rStyle w:val="nfasis"/>
          <w:rFonts w:cs="Calibri"/>
          <w:color w:val="000000"/>
          <w:sz w:val="22"/>
        </w:rPr>
      </w:pPr>
      <w:r w:rsidRPr="00CC710A">
        <w:rPr>
          <w:rFonts w:cs="Calibri"/>
          <w:b/>
          <w:color w:val="000000"/>
          <w:sz w:val="22"/>
        </w:rPr>
        <w:t xml:space="preserve">111.- </w:t>
      </w:r>
      <w:r w:rsidRPr="00CC710A">
        <w:rPr>
          <w:rStyle w:val="nfasis"/>
          <w:rFonts w:cs="Calibri"/>
          <w:b/>
          <w:iCs/>
          <w:color w:val="000000"/>
          <w:sz w:val="22"/>
        </w:rPr>
        <w:t>Efectivo y Equivalente</w:t>
      </w:r>
      <w:r w:rsidRPr="00CC710A">
        <w:rPr>
          <w:rStyle w:val="nfasis"/>
          <w:rFonts w:cs="Calibri"/>
          <w:b/>
          <w:color w:val="000000"/>
          <w:sz w:val="22"/>
        </w:rPr>
        <w:t>.-</w:t>
      </w:r>
      <w:r w:rsidRPr="00CC710A">
        <w:rPr>
          <w:rStyle w:val="nfasis"/>
          <w:rFonts w:cs="Calibri"/>
          <w:color w:val="000000"/>
          <w:sz w:val="22"/>
        </w:rPr>
        <w:t xml:space="preserve"> Consisten principalmente en depósitos bancarios en cuentas de cheques e inversiones en valores a corto plazo, de gran liquidez, fácilmente convertibles en efectivo, con vencimiento hasta de tres meses a partir de la fecha de adquisición y sujetos a riesgos poco importantes de cambios en valor. El efectivo se presenta a valor nominal y los equivalentes se valúan a su valor razonable.</w:t>
      </w:r>
    </w:p>
    <w:p w:rsidR="009E0917" w:rsidRDefault="009E0917" w:rsidP="009E0917">
      <w:pPr>
        <w:rPr>
          <w:rStyle w:val="nfasis"/>
          <w:rFonts w:cs="Calibri"/>
          <w:color w:val="000000"/>
          <w:sz w:val="22"/>
        </w:rPr>
      </w:pPr>
    </w:p>
    <w:p w:rsidR="009E0917" w:rsidRPr="0054310B" w:rsidRDefault="009E0917" w:rsidP="009E0917">
      <w:pPr>
        <w:rPr>
          <w:rStyle w:val="nfasis"/>
          <w:rFonts w:cs="Calibri"/>
          <w:color w:val="000000"/>
          <w:sz w:val="22"/>
        </w:rPr>
      </w:pPr>
      <w:r w:rsidRPr="00CC710A">
        <w:rPr>
          <w:rFonts w:cs="Calibri"/>
          <w:b/>
          <w:color w:val="000000"/>
          <w:sz w:val="22"/>
        </w:rPr>
        <w:t xml:space="preserve">1111.- </w:t>
      </w:r>
      <w:r w:rsidRPr="00CC710A">
        <w:rPr>
          <w:rStyle w:val="nfasis"/>
          <w:rFonts w:cs="Calibri"/>
          <w:b/>
          <w:color w:val="000000"/>
          <w:sz w:val="22"/>
        </w:rPr>
        <w:t>Fondos Fijos de Cajas Chica</w:t>
      </w:r>
      <w:r w:rsidR="00AD7C13" w:rsidRPr="00CC710A">
        <w:rPr>
          <w:rStyle w:val="nfasis"/>
          <w:rFonts w:cs="Calibri"/>
          <w:b/>
          <w:color w:val="000000"/>
          <w:sz w:val="22"/>
        </w:rPr>
        <w:t>.-</w:t>
      </w:r>
      <w:r w:rsidR="00AD7C13" w:rsidRPr="00CC710A">
        <w:rPr>
          <w:rStyle w:val="nfasis"/>
          <w:rFonts w:cs="Calibri"/>
          <w:color w:val="000000"/>
          <w:sz w:val="22"/>
        </w:rPr>
        <w:t xml:space="preserve"> </w:t>
      </w:r>
      <w:r w:rsidR="007F0A36" w:rsidRPr="00CC710A">
        <w:rPr>
          <w:rStyle w:val="nfasis"/>
          <w:rFonts w:cs="Calibri"/>
          <w:color w:val="000000"/>
          <w:sz w:val="22"/>
        </w:rPr>
        <w:t>Representa el</w:t>
      </w:r>
      <w:r w:rsidRPr="00CC710A">
        <w:rPr>
          <w:rStyle w:val="nfasis"/>
          <w:rFonts w:cs="Calibri"/>
          <w:color w:val="000000"/>
          <w:sz w:val="22"/>
        </w:rPr>
        <w:t xml:space="preserve"> monto en dinero propiedad del ente público recibido en caja y aquél que está a su cuidado y administración.  El saldo de esta cuenta es por la cantidad de </w:t>
      </w:r>
      <w:r>
        <w:rPr>
          <w:rStyle w:val="nfasis"/>
          <w:rFonts w:cs="Calibri"/>
          <w:color w:val="000000"/>
          <w:sz w:val="22"/>
        </w:rPr>
        <w:t>79</w:t>
      </w:r>
      <w:r w:rsidRPr="00CC710A">
        <w:rPr>
          <w:rStyle w:val="nfasis"/>
          <w:rFonts w:cs="Calibri"/>
          <w:color w:val="000000"/>
          <w:sz w:val="22"/>
        </w:rPr>
        <w:t xml:space="preserve">,750.17 pesos y se integra con el siguiente concepto.  </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vAlign w:val="bottom"/>
            <w:hideMark/>
          </w:tcPr>
          <w:p w:rsidR="009E0917" w:rsidRPr="00CC710A" w:rsidRDefault="009E0917" w:rsidP="00324C4E">
            <w:pPr>
              <w:rPr>
                <w:color w:val="FFFFFF"/>
              </w:rPr>
            </w:pPr>
            <w:r w:rsidRPr="00CC710A">
              <w:rPr>
                <w:color w:val="FFFFFF"/>
                <w:sz w:val="22"/>
              </w:rPr>
              <w:t>Fondos Fijos de Cajas Chicas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8225D7" w:rsidTr="00324C4E">
        <w:trPr>
          <w:trHeight w:val="315"/>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Cajas Chicas de Recaudaciones</w:t>
            </w:r>
          </w:p>
        </w:tc>
        <w:tc>
          <w:tcPr>
            <w:tcW w:w="2140" w:type="dxa"/>
            <w:tcBorders>
              <w:top w:val="nil"/>
              <w:left w:val="nil"/>
              <w:bottom w:val="nil"/>
              <w:right w:val="nil"/>
            </w:tcBorders>
            <w:shd w:val="clear" w:color="auto" w:fill="auto"/>
            <w:vAlign w:val="bottom"/>
            <w:hideMark/>
          </w:tcPr>
          <w:p w:rsidR="009E0917" w:rsidRPr="008270DC" w:rsidRDefault="009E0917" w:rsidP="00324C4E">
            <w:pPr>
              <w:jc w:val="right"/>
              <w:rPr>
                <w:iCs/>
                <w:color w:val="000000"/>
              </w:rPr>
            </w:pPr>
            <w:r w:rsidRPr="008270DC">
              <w:rPr>
                <w:rStyle w:val="nfasis"/>
                <w:rFonts w:cs="Calibri"/>
                <w:iCs/>
                <w:color w:val="000000"/>
                <w:sz w:val="22"/>
              </w:rPr>
              <w:t xml:space="preserve">79,750.17 </w:t>
            </w:r>
          </w:p>
        </w:tc>
      </w:tr>
      <w:tr w:rsidR="009E0917" w:rsidRPr="008225D7"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05441" w:rsidRDefault="009E0917" w:rsidP="00324C4E">
            <w:pPr>
              <w:jc w:val="right"/>
              <w:rPr>
                <w:rFonts w:cs="Calibri"/>
                <w:b/>
                <w:bCs/>
                <w:color w:val="000000"/>
                <w:lang w:eastAsia="es-MX"/>
              </w:rPr>
            </w:pPr>
            <w:r>
              <w:rPr>
                <w:rFonts w:cs="Calibri"/>
                <w:b/>
                <w:bCs/>
                <w:color w:val="000000"/>
                <w:sz w:val="22"/>
                <w:lang w:eastAsia="es-MX"/>
              </w:rPr>
              <w:t>79</w:t>
            </w:r>
            <w:r w:rsidRPr="00805441">
              <w:rPr>
                <w:rFonts w:cs="Calibri"/>
                <w:b/>
                <w:bCs/>
                <w:color w:val="000000"/>
                <w:sz w:val="22"/>
                <w:lang w:eastAsia="es-MX"/>
              </w:rPr>
              <w:t>,750.17</w:t>
            </w:r>
          </w:p>
        </w:tc>
      </w:tr>
    </w:tbl>
    <w:p w:rsidR="009E0917" w:rsidRDefault="009E0917" w:rsidP="009E0917">
      <w:pPr>
        <w:spacing w:line="240" w:lineRule="auto"/>
        <w:rPr>
          <w:rStyle w:val="nfasis"/>
          <w:rFonts w:cs="Calibri"/>
          <w:b/>
          <w:color w:val="000000"/>
          <w:sz w:val="22"/>
        </w:rPr>
      </w:pPr>
    </w:p>
    <w:p w:rsidR="009E0917" w:rsidRDefault="009E0917" w:rsidP="009E0917">
      <w:pPr>
        <w:spacing w:line="240" w:lineRule="auto"/>
        <w:rPr>
          <w:rStyle w:val="nfasis"/>
          <w:rFonts w:cs="Calibri"/>
          <w:b/>
          <w:color w:val="000000"/>
          <w:sz w:val="22"/>
        </w:rPr>
      </w:pPr>
    </w:p>
    <w:p w:rsidR="009E0917" w:rsidRPr="00FF0821" w:rsidRDefault="009E0917" w:rsidP="009E0917">
      <w:pPr>
        <w:spacing w:line="240" w:lineRule="auto"/>
        <w:rPr>
          <w:rStyle w:val="nfasis"/>
          <w:rFonts w:cs="Calibri"/>
          <w:b/>
          <w:color w:val="000000"/>
          <w:sz w:val="22"/>
        </w:rPr>
      </w:pPr>
      <w:r w:rsidRPr="00CC710A">
        <w:rPr>
          <w:rFonts w:cs="Calibri"/>
          <w:b/>
          <w:color w:val="000000"/>
          <w:sz w:val="22"/>
        </w:rPr>
        <w:t xml:space="preserve">1112.- Bancos </w:t>
      </w:r>
      <w:r w:rsidRPr="00CC710A">
        <w:rPr>
          <w:rStyle w:val="nfasis"/>
          <w:rFonts w:cs="Calibri"/>
          <w:b/>
          <w:color w:val="000000"/>
          <w:sz w:val="22"/>
        </w:rPr>
        <w:t xml:space="preserve">/ </w:t>
      </w:r>
      <w:r w:rsidRPr="00CC710A">
        <w:rPr>
          <w:rStyle w:val="nfasis"/>
          <w:rFonts w:cs="Calibri"/>
          <w:b/>
          <w:iCs/>
          <w:color w:val="000000"/>
          <w:sz w:val="22"/>
        </w:rPr>
        <w:t>Tesorería</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total es de </w:t>
      </w:r>
      <w:r>
        <w:rPr>
          <w:rStyle w:val="nfasis"/>
          <w:rFonts w:cs="Calibri"/>
          <w:color w:val="000000"/>
          <w:sz w:val="22"/>
        </w:rPr>
        <w:t xml:space="preserve">2,464,140,566.80 </w:t>
      </w:r>
      <w:r w:rsidRPr="00CC710A">
        <w:rPr>
          <w:rStyle w:val="nfasis"/>
          <w:rFonts w:cs="Calibri"/>
          <w:color w:val="000000"/>
          <w:sz w:val="22"/>
        </w:rPr>
        <w:t>pesos, compuestos por cuentas de cheques productivas, que a su vez se integran por Cuentas de Recursos Federales y Propios.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00"/>
          <w:jc w:val="center"/>
        </w:trPr>
        <w:tc>
          <w:tcPr>
            <w:tcW w:w="6460" w:type="dxa"/>
            <w:tcBorders>
              <w:top w:val="nil"/>
              <w:left w:val="nil"/>
              <w:bottom w:val="nil"/>
              <w:right w:val="nil"/>
            </w:tcBorders>
            <w:shd w:val="clear" w:color="000000" w:fill="861D31"/>
            <w:vAlign w:val="bottom"/>
            <w:hideMark/>
          </w:tcPr>
          <w:p w:rsidR="009E0917" w:rsidRPr="00CC710A" w:rsidRDefault="009E0917" w:rsidP="00324C4E">
            <w:pPr>
              <w:rPr>
                <w:color w:val="FFFFFF"/>
              </w:rPr>
            </w:pPr>
            <w:r w:rsidRPr="00CC710A">
              <w:rPr>
                <w:color w:val="FFFFFF"/>
                <w:sz w:val="22"/>
              </w:rPr>
              <w:t>Bancos / Tesorería</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Recursos Propios</w:t>
            </w:r>
          </w:p>
        </w:tc>
        <w:tc>
          <w:tcPr>
            <w:tcW w:w="2140" w:type="dxa"/>
            <w:tcBorders>
              <w:top w:val="nil"/>
              <w:left w:val="nil"/>
              <w:bottom w:val="nil"/>
              <w:right w:val="nil"/>
            </w:tcBorders>
            <w:shd w:val="clear" w:color="auto" w:fill="auto"/>
            <w:vAlign w:val="bottom"/>
          </w:tcPr>
          <w:p w:rsidR="009E0917" w:rsidRPr="0085322E" w:rsidRDefault="009E0917" w:rsidP="00324C4E">
            <w:pPr>
              <w:jc w:val="right"/>
              <w:rPr>
                <w:color w:val="000000"/>
              </w:rPr>
            </w:pPr>
            <w:r>
              <w:rPr>
                <w:color w:val="000000"/>
                <w:sz w:val="22"/>
              </w:rPr>
              <w:t>1,230,680,755.20</w:t>
            </w:r>
          </w:p>
        </w:tc>
      </w:tr>
      <w:tr w:rsidR="009E0917" w:rsidRPr="00204998" w:rsidTr="00324C4E">
        <w:trPr>
          <w:trHeight w:hRule="exact" w:val="340"/>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Recursos Federales</w:t>
            </w:r>
          </w:p>
        </w:tc>
        <w:tc>
          <w:tcPr>
            <w:tcW w:w="2140" w:type="dxa"/>
            <w:tcBorders>
              <w:top w:val="nil"/>
              <w:left w:val="nil"/>
              <w:bottom w:val="nil"/>
              <w:right w:val="nil"/>
            </w:tcBorders>
            <w:shd w:val="clear" w:color="auto" w:fill="auto"/>
            <w:vAlign w:val="bottom"/>
          </w:tcPr>
          <w:p w:rsidR="009E0917" w:rsidRPr="0085322E" w:rsidRDefault="009E0917" w:rsidP="00324C4E">
            <w:pPr>
              <w:jc w:val="right"/>
              <w:rPr>
                <w:color w:val="000000"/>
              </w:rPr>
            </w:pPr>
            <w:r>
              <w:rPr>
                <w:color w:val="000000"/>
                <w:sz w:val="22"/>
              </w:rPr>
              <w:t>428,290,023.17</w:t>
            </w:r>
          </w:p>
        </w:tc>
      </w:tr>
      <w:tr w:rsidR="009E0917" w:rsidRPr="00204998" w:rsidTr="00324C4E">
        <w:trPr>
          <w:trHeight w:hRule="exact" w:val="340"/>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Retenciones de Obra</w:t>
            </w:r>
          </w:p>
        </w:tc>
        <w:tc>
          <w:tcPr>
            <w:tcW w:w="2140" w:type="dxa"/>
            <w:tcBorders>
              <w:top w:val="nil"/>
              <w:left w:val="nil"/>
              <w:bottom w:val="nil"/>
              <w:right w:val="nil"/>
            </w:tcBorders>
            <w:shd w:val="clear" w:color="auto" w:fill="auto"/>
            <w:vAlign w:val="bottom"/>
          </w:tcPr>
          <w:p w:rsidR="009E0917" w:rsidRPr="0085322E" w:rsidRDefault="009E0917" w:rsidP="00324C4E">
            <w:pPr>
              <w:jc w:val="right"/>
              <w:rPr>
                <w:color w:val="000000"/>
              </w:rPr>
            </w:pPr>
            <w:r>
              <w:rPr>
                <w:color w:val="000000"/>
                <w:sz w:val="22"/>
              </w:rPr>
              <w:t>3,792,038.36</w:t>
            </w:r>
          </w:p>
        </w:tc>
      </w:tr>
      <w:tr w:rsidR="009E0917" w:rsidRPr="00204998" w:rsidTr="00324C4E">
        <w:trPr>
          <w:trHeight w:hRule="exact" w:val="340"/>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Recursos Propios OPDS</w:t>
            </w:r>
          </w:p>
        </w:tc>
        <w:tc>
          <w:tcPr>
            <w:tcW w:w="2140" w:type="dxa"/>
            <w:tcBorders>
              <w:top w:val="nil"/>
              <w:left w:val="nil"/>
              <w:bottom w:val="nil"/>
              <w:right w:val="nil"/>
            </w:tcBorders>
            <w:shd w:val="clear" w:color="auto" w:fill="auto"/>
            <w:vAlign w:val="bottom"/>
          </w:tcPr>
          <w:p w:rsidR="009E0917" w:rsidRPr="0085322E" w:rsidRDefault="009E0917" w:rsidP="00324C4E">
            <w:pPr>
              <w:jc w:val="right"/>
              <w:rPr>
                <w:color w:val="000000"/>
              </w:rPr>
            </w:pPr>
            <w:r>
              <w:rPr>
                <w:color w:val="000000"/>
                <w:sz w:val="22"/>
              </w:rPr>
              <w:t>618,123.80</w:t>
            </w:r>
          </w:p>
        </w:tc>
      </w:tr>
      <w:tr w:rsidR="009E0917" w:rsidRPr="00204998" w:rsidTr="00324C4E">
        <w:trPr>
          <w:trHeight w:hRule="exact" w:val="340"/>
          <w:jc w:val="center"/>
        </w:trPr>
        <w:tc>
          <w:tcPr>
            <w:tcW w:w="6460" w:type="dxa"/>
            <w:tcBorders>
              <w:top w:val="nil"/>
              <w:left w:val="nil"/>
              <w:bottom w:val="nil"/>
              <w:right w:val="nil"/>
            </w:tcBorders>
            <w:shd w:val="clear" w:color="auto" w:fill="auto"/>
            <w:vAlign w:val="bottom"/>
            <w:hideMark/>
          </w:tcPr>
          <w:p w:rsidR="009E0917" w:rsidRPr="00CC710A" w:rsidRDefault="009E0917" w:rsidP="00324C4E">
            <w:pPr>
              <w:rPr>
                <w:color w:val="000000"/>
              </w:rPr>
            </w:pPr>
            <w:r w:rsidRPr="00CC710A">
              <w:rPr>
                <w:color w:val="000000"/>
                <w:sz w:val="22"/>
              </w:rPr>
              <w:t xml:space="preserve">Recurso </w:t>
            </w:r>
            <w:r>
              <w:rPr>
                <w:color w:val="000000"/>
                <w:sz w:val="22"/>
              </w:rPr>
              <w:t>no</w:t>
            </w:r>
            <w:r w:rsidRPr="00CC710A">
              <w:rPr>
                <w:color w:val="000000"/>
                <w:sz w:val="22"/>
              </w:rPr>
              <w:t xml:space="preserve"> Etiquetado Federal</w:t>
            </w:r>
          </w:p>
        </w:tc>
        <w:tc>
          <w:tcPr>
            <w:tcW w:w="2140" w:type="dxa"/>
            <w:tcBorders>
              <w:top w:val="nil"/>
              <w:left w:val="nil"/>
              <w:bottom w:val="nil"/>
              <w:right w:val="nil"/>
            </w:tcBorders>
            <w:shd w:val="clear" w:color="auto" w:fill="auto"/>
            <w:vAlign w:val="bottom"/>
          </w:tcPr>
          <w:p w:rsidR="009E0917" w:rsidRPr="0085322E" w:rsidRDefault="009E0917" w:rsidP="00324C4E">
            <w:pPr>
              <w:jc w:val="right"/>
              <w:rPr>
                <w:color w:val="000000"/>
              </w:rPr>
            </w:pPr>
            <w:r>
              <w:rPr>
                <w:color w:val="000000"/>
                <w:sz w:val="22"/>
              </w:rPr>
              <w:t>800,759,626.27</w:t>
            </w:r>
          </w:p>
        </w:tc>
      </w:tr>
      <w:tr w:rsidR="009E0917" w:rsidRPr="00204998" w:rsidTr="00324C4E">
        <w:trPr>
          <w:trHeight w:val="300"/>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5322E" w:rsidRDefault="009E0917" w:rsidP="00324C4E">
            <w:pPr>
              <w:jc w:val="right"/>
              <w:rPr>
                <w:rFonts w:cs="Calibri"/>
                <w:b/>
                <w:bCs/>
                <w:color w:val="000000"/>
                <w:lang w:eastAsia="es-MX"/>
              </w:rPr>
            </w:pPr>
            <w:r>
              <w:rPr>
                <w:rStyle w:val="nfasis"/>
                <w:rFonts w:cs="Calibri"/>
                <w:b/>
                <w:bCs/>
                <w:color w:val="000000"/>
                <w:sz w:val="22"/>
              </w:rPr>
              <w:t>2,464,140,566.80</w:t>
            </w:r>
          </w:p>
        </w:tc>
      </w:tr>
    </w:tbl>
    <w:p w:rsidR="009E0917" w:rsidRDefault="009E0917" w:rsidP="009E0917">
      <w:pPr>
        <w:rPr>
          <w:rStyle w:val="nfasis"/>
          <w:rFonts w:cs="Calibri"/>
          <w:b/>
          <w:iCs/>
          <w:color w:val="000000"/>
          <w:sz w:val="22"/>
        </w:rPr>
      </w:pPr>
    </w:p>
    <w:p w:rsidR="009E0917" w:rsidRDefault="009E0917" w:rsidP="009E0917">
      <w:pPr>
        <w:rPr>
          <w:rStyle w:val="nfasis"/>
          <w:rFonts w:cs="Calibri"/>
          <w:b/>
          <w:iCs/>
          <w:color w:val="000000"/>
          <w:sz w:val="22"/>
        </w:rPr>
      </w:pPr>
    </w:p>
    <w:p w:rsidR="009E0917" w:rsidRDefault="009E0917" w:rsidP="009E0917">
      <w:pPr>
        <w:rPr>
          <w:rStyle w:val="nfasis"/>
          <w:rFonts w:cs="Calibri"/>
          <w:i/>
          <w:color w:val="000000"/>
          <w:sz w:val="22"/>
        </w:rPr>
      </w:pPr>
      <w:r w:rsidRPr="00CC710A">
        <w:rPr>
          <w:rStyle w:val="nfasis"/>
          <w:rFonts w:cs="Calibri"/>
          <w:b/>
          <w:iCs/>
          <w:color w:val="000000"/>
          <w:sz w:val="22"/>
        </w:rPr>
        <w:t>1116.-</w:t>
      </w:r>
      <w:r w:rsidRPr="00CC710A">
        <w:rPr>
          <w:rStyle w:val="nfasis"/>
          <w:rFonts w:cs="Calibri"/>
          <w:b/>
          <w:color w:val="000000"/>
          <w:sz w:val="22"/>
        </w:rPr>
        <w:t xml:space="preserve"> Depósitos de Fondos de Terceros en Garantía y/o Administración</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por 313,000.00 pesos se compone por los recursos propiedad de terceros que se encuentran en poder del ente público, en garantía </w:t>
      </w:r>
      <w:r>
        <w:rPr>
          <w:rStyle w:val="nfasis"/>
          <w:rFonts w:cs="Calibri"/>
          <w:color w:val="000000"/>
          <w:sz w:val="22"/>
        </w:rPr>
        <w:t xml:space="preserve">del cumplimento de obligaciones </w:t>
      </w:r>
      <w:r w:rsidRPr="00CC710A">
        <w:rPr>
          <w:rStyle w:val="nfasis"/>
          <w:rFonts w:cs="Calibri"/>
          <w:color w:val="000000"/>
          <w:sz w:val="22"/>
        </w:rPr>
        <w:t>contractuales o legales o para su administración.</w:t>
      </w:r>
    </w:p>
    <w:p w:rsidR="009E0917" w:rsidRDefault="009E0917" w:rsidP="009E0917">
      <w:pPr>
        <w:rPr>
          <w:rStyle w:val="nfasis"/>
          <w:rFonts w:cs="Calibri"/>
          <w:i/>
          <w:color w:val="000000"/>
          <w:sz w:val="22"/>
        </w:rPr>
      </w:pPr>
    </w:p>
    <w:p w:rsidR="009E0917" w:rsidRDefault="009E0917" w:rsidP="009E0917">
      <w:pPr>
        <w:rPr>
          <w:rStyle w:val="nfasis"/>
          <w:rFonts w:cs="Calibri"/>
          <w:i/>
          <w:color w:val="000000"/>
          <w:sz w:val="22"/>
        </w:rPr>
      </w:pPr>
      <w:r w:rsidRPr="00CC710A">
        <w:rPr>
          <w:rStyle w:val="nfasis"/>
          <w:rFonts w:cs="Calibri"/>
          <w:b/>
          <w:iCs/>
          <w:color w:val="000000"/>
          <w:sz w:val="22"/>
        </w:rPr>
        <w:lastRenderedPageBreak/>
        <w:t>112.- Derechos a Recibir Efectivo o Equivalentes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Son derechos de cobro originados en el desarrollo de las actividades del ente público, de los cuales se espera recibir una contraprestación representada en recursos, bienes o servicios; en un plazo menor o igual a doce meses. Los saldos y las cuentas que lo integran se describen a continuación</w:t>
      </w:r>
      <w:r w:rsidR="00AD7C13">
        <w:rPr>
          <w:rStyle w:val="nfasis"/>
          <w:rFonts w:cs="Calibri"/>
          <w:color w:val="000000"/>
          <w:sz w:val="22"/>
        </w:rPr>
        <w:t>.</w:t>
      </w:r>
    </w:p>
    <w:p w:rsidR="009E0917" w:rsidRDefault="009E0917" w:rsidP="009E0917">
      <w:pPr>
        <w:rPr>
          <w:rStyle w:val="nfasis"/>
          <w:rFonts w:cs="Calibri"/>
          <w:i/>
          <w:color w:val="000000"/>
          <w:sz w:val="22"/>
        </w:rPr>
      </w:pPr>
    </w:p>
    <w:p w:rsidR="009E0917" w:rsidRPr="00CC710A" w:rsidRDefault="009E0917" w:rsidP="009E0917">
      <w:pPr>
        <w:rPr>
          <w:rStyle w:val="nfasis"/>
          <w:rFonts w:cs="Calibri"/>
          <w:i/>
          <w:color w:val="000000"/>
          <w:sz w:val="22"/>
        </w:rPr>
      </w:pPr>
      <w:r w:rsidRPr="00CC710A">
        <w:rPr>
          <w:rStyle w:val="nfasis"/>
          <w:rFonts w:cs="Calibri"/>
          <w:b/>
          <w:iCs/>
          <w:color w:val="000000"/>
          <w:sz w:val="22"/>
        </w:rPr>
        <w:t>1122.-</w:t>
      </w:r>
      <w:r w:rsidR="00C70793">
        <w:rPr>
          <w:rStyle w:val="nfasis"/>
          <w:rFonts w:cs="Calibri"/>
          <w:b/>
          <w:iCs/>
          <w:color w:val="000000"/>
          <w:sz w:val="22"/>
        </w:rPr>
        <w:t xml:space="preserve"> </w:t>
      </w:r>
      <w:r w:rsidRPr="00CC710A">
        <w:rPr>
          <w:rStyle w:val="nfasis"/>
          <w:rFonts w:cs="Calibri"/>
          <w:b/>
          <w:iCs/>
          <w:color w:val="000000"/>
          <w:sz w:val="22"/>
        </w:rPr>
        <w:t xml:space="preserve"> Cuenta por Cobrar a Corto </w:t>
      </w:r>
      <w:proofErr w:type="gramStart"/>
      <w:r w:rsidRPr="00CC710A">
        <w:rPr>
          <w:rStyle w:val="nfasis"/>
          <w:rFonts w:cs="Calibri"/>
          <w:b/>
          <w:iCs/>
          <w:color w:val="000000"/>
          <w:sz w:val="22"/>
        </w:rPr>
        <w:t>Plazo</w:t>
      </w:r>
      <w:r w:rsidR="00AD7C13" w:rsidRPr="00CC710A">
        <w:rPr>
          <w:rStyle w:val="nfasis"/>
          <w:rFonts w:cs="Calibri"/>
          <w:b/>
          <w:color w:val="000000"/>
          <w:sz w:val="22"/>
        </w:rPr>
        <w:t>.-</w:t>
      </w:r>
      <w:proofErr w:type="gramEnd"/>
      <w:r w:rsidR="00AD7C13" w:rsidRPr="00CC710A">
        <w:rPr>
          <w:rStyle w:val="nfasis"/>
          <w:rFonts w:cs="Calibri"/>
          <w:color w:val="000000"/>
          <w:sz w:val="22"/>
        </w:rPr>
        <w:t xml:space="preserve"> </w:t>
      </w:r>
      <w:r w:rsidRPr="00CC710A">
        <w:rPr>
          <w:rStyle w:val="nfasis"/>
          <w:rFonts w:cs="Calibri"/>
          <w:color w:val="000000"/>
          <w:sz w:val="22"/>
        </w:rPr>
        <w:t xml:space="preserve"> El saldo de esta cuenta con un importe de </w:t>
      </w:r>
      <w:r>
        <w:rPr>
          <w:rStyle w:val="nfasis"/>
          <w:rFonts w:cs="Calibri"/>
          <w:color w:val="000000"/>
          <w:sz w:val="22"/>
        </w:rPr>
        <w:t>142,230,035.75</w:t>
      </w:r>
      <w:r w:rsidRPr="00CC710A">
        <w:rPr>
          <w:rStyle w:val="nfasis"/>
          <w:rFonts w:cs="Calibri"/>
          <w:color w:val="000000"/>
          <w:sz w:val="22"/>
        </w:rPr>
        <w:t xml:space="preserve"> pesos representa los derechos de cobro a favor del ente público, cuyo origen es distinto de los ingresos por contribuciones, productos y aprovechamientos, que serán exigibles en un plazo menor o igual a doce meses. Identificados c</w:t>
      </w:r>
      <w:r w:rsidR="00F23D88">
        <w:rPr>
          <w:rStyle w:val="nfasis"/>
          <w:rFonts w:cs="Calibri"/>
          <w:color w:val="000000"/>
          <w:sz w:val="22"/>
        </w:rPr>
        <w:t>omo a continuación de describen.</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Cuenta por Cobrar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Adquisición de Vehículos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77,144.80</w:t>
            </w:r>
          </w:p>
        </w:tc>
      </w:tr>
      <w:tr w:rsidR="009E0917" w:rsidRPr="00204998" w:rsidTr="00324C4E">
        <w:trPr>
          <w:trHeight w:val="315"/>
          <w:jc w:val="center"/>
        </w:trPr>
        <w:tc>
          <w:tcPr>
            <w:tcW w:w="6460" w:type="dxa"/>
            <w:tcBorders>
              <w:top w:val="nil"/>
              <w:left w:val="nil"/>
              <w:bottom w:val="nil"/>
              <w:right w:val="nil"/>
            </w:tcBorders>
            <w:shd w:val="clear" w:color="auto" w:fill="auto"/>
          </w:tcPr>
          <w:p w:rsidR="009E0917" w:rsidRPr="00CC710A" w:rsidRDefault="009E0917" w:rsidP="00324C4E">
            <w:pPr>
              <w:rPr>
                <w:color w:val="000000"/>
              </w:rPr>
            </w:pPr>
            <w:r>
              <w:rPr>
                <w:color w:val="000000"/>
                <w:sz w:val="22"/>
              </w:rPr>
              <w:t>C</w:t>
            </w:r>
            <w:r>
              <w:t>uentas por Cobrar a la Federación</w:t>
            </w:r>
          </w:p>
        </w:tc>
        <w:tc>
          <w:tcPr>
            <w:tcW w:w="2140" w:type="dxa"/>
            <w:tcBorders>
              <w:top w:val="nil"/>
              <w:left w:val="nil"/>
              <w:bottom w:val="nil"/>
              <w:right w:val="nil"/>
            </w:tcBorders>
            <w:shd w:val="clear" w:color="auto" w:fill="auto"/>
          </w:tcPr>
          <w:p w:rsidR="009E0917" w:rsidRDefault="009E0917" w:rsidP="00324C4E">
            <w:pPr>
              <w:jc w:val="right"/>
              <w:rPr>
                <w:color w:val="000000"/>
              </w:rPr>
            </w:pPr>
            <w:r>
              <w:rPr>
                <w:color w:val="000000"/>
                <w:sz w:val="22"/>
              </w:rPr>
              <w:t>141,393,424.83</w:t>
            </w:r>
          </w:p>
        </w:tc>
      </w:tr>
      <w:tr w:rsidR="009E0917" w:rsidRPr="00204998" w:rsidTr="00324C4E">
        <w:trPr>
          <w:trHeight w:val="315"/>
          <w:jc w:val="center"/>
        </w:trPr>
        <w:tc>
          <w:tcPr>
            <w:tcW w:w="6460" w:type="dxa"/>
            <w:tcBorders>
              <w:top w:val="nil"/>
              <w:left w:val="nil"/>
              <w:bottom w:val="nil"/>
              <w:right w:val="nil"/>
            </w:tcBorders>
            <w:shd w:val="clear" w:color="auto" w:fill="auto"/>
          </w:tcPr>
          <w:p w:rsidR="009E0917" w:rsidRDefault="009E0917" w:rsidP="00324C4E">
            <w:pPr>
              <w:rPr>
                <w:color w:val="000000"/>
              </w:rPr>
            </w:pPr>
            <w:r>
              <w:rPr>
                <w:color w:val="000000"/>
                <w:sz w:val="22"/>
              </w:rPr>
              <w:t>Cuentas por Cobrar a Entidades Federativas y Municipios</w:t>
            </w:r>
          </w:p>
        </w:tc>
        <w:tc>
          <w:tcPr>
            <w:tcW w:w="2140" w:type="dxa"/>
            <w:tcBorders>
              <w:top w:val="nil"/>
              <w:left w:val="nil"/>
              <w:bottom w:val="nil"/>
              <w:right w:val="nil"/>
            </w:tcBorders>
            <w:shd w:val="clear" w:color="auto" w:fill="auto"/>
          </w:tcPr>
          <w:p w:rsidR="009E0917" w:rsidRDefault="009E0917" w:rsidP="00324C4E">
            <w:pPr>
              <w:jc w:val="right"/>
              <w:rPr>
                <w:color w:val="000000"/>
              </w:rPr>
            </w:pPr>
            <w:r>
              <w:rPr>
                <w:color w:val="000000"/>
                <w:sz w:val="22"/>
              </w:rPr>
              <w:t>9,953.00</w:t>
            </w:r>
          </w:p>
        </w:tc>
      </w:tr>
      <w:tr w:rsidR="009E0917" w:rsidRPr="00204998" w:rsidTr="00324C4E">
        <w:trPr>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Otras Cuentas por Cobrar</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749,513.12</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270DC" w:rsidRDefault="009E0917" w:rsidP="00324C4E">
            <w:pPr>
              <w:jc w:val="right"/>
              <w:rPr>
                <w:b/>
                <w:bCs/>
                <w:color w:val="000000"/>
              </w:rPr>
            </w:pPr>
            <w:r>
              <w:rPr>
                <w:rStyle w:val="nfasis"/>
                <w:rFonts w:cs="Calibri"/>
                <w:b/>
                <w:bCs/>
                <w:color w:val="000000"/>
                <w:sz w:val="22"/>
              </w:rPr>
              <w:t>1</w:t>
            </w:r>
            <w:r w:rsidRPr="008270DC">
              <w:rPr>
                <w:rStyle w:val="nfasis"/>
                <w:rFonts w:cs="Calibri"/>
                <w:b/>
                <w:bCs/>
                <w:color w:val="000000"/>
                <w:sz w:val="22"/>
              </w:rPr>
              <w:t>42,</w:t>
            </w:r>
            <w:r>
              <w:rPr>
                <w:rStyle w:val="nfasis"/>
                <w:rFonts w:cs="Calibri"/>
                <w:b/>
                <w:bCs/>
                <w:color w:val="000000"/>
                <w:sz w:val="22"/>
              </w:rPr>
              <w:t>230</w:t>
            </w:r>
            <w:r w:rsidRPr="008270DC">
              <w:rPr>
                <w:rStyle w:val="nfasis"/>
                <w:rFonts w:cs="Calibri"/>
                <w:b/>
                <w:bCs/>
                <w:color w:val="000000"/>
                <w:sz w:val="22"/>
              </w:rPr>
              <w:t>,</w:t>
            </w:r>
            <w:r>
              <w:rPr>
                <w:rStyle w:val="nfasis"/>
                <w:rFonts w:cs="Calibri"/>
                <w:b/>
                <w:bCs/>
                <w:color w:val="000000"/>
                <w:sz w:val="22"/>
              </w:rPr>
              <w:t>035</w:t>
            </w:r>
            <w:r w:rsidRPr="008270DC">
              <w:rPr>
                <w:rStyle w:val="nfasis"/>
                <w:rFonts w:cs="Calibri"/>
                <w:b/>
                <w:bCs/>
                <w:color w:val="000000"/>
                <w:sz w:val="22"/>
              </w:rPr>
              <w:t>.7</w:t>
            </w:r>
            <w:r>
              <w:rPr>
                <w:rStyle w:val="nfasis"/>
                <w:rFonts w:cs="Calibri"/>
                <w:b/>
                <w:bCs/>
                <w:color w:val="000000"/>
                <w:sz w:val="22"/>
              </w:rPr>
              <w:t>5</w:t>
            </w:r>
          </w:p>
        </w:tc>
      </w:tr>
    </w:tbl>
    <w:p w:rsidR="009E0917" w:rsidRDefault="009E0917" w:rsidP="009E0917">
      <w:pPr>
        <w:autoSpaceDE w:val="0"/>
        <w:autoSpaceDN w:val="0"/>
        <w:adjustRightInd w:val="0"/>
        <w:rPr>
          <w:rStyle w:val="nfasis"/>
          <w:rFonts w:cs="Calibri"/>
          <w:i/>
          <w:color w:val="000000"/>
          <w:sz w:val="22"/>
        </w:rPr>
      </w:pPr>
    </w:p>
    <w:p w:rsidR="009E0917" w:rsidRDefault="009E0917" w:rsidP="009E0917">
      <w:pPr>
        <w:autoSpaceDE w:val="0"/>
        <w:autoSpaceDN w:val="0"/>
        <w:adjustRightInd w:val="0"/>
        <w:rPr>
          <w:rStyle w:val="nfasis"/>
          <w:rFonts w:cs="Calibri"/>
          <w:i/>
          <w:color w:val="000000"/>
          <w:sz w:val="22"/>
        </w:rPr>
      </w:pPr>
    </w:p>
    <w:p w:rsidR="009E0917" w:rsidRPr="00CC710A" w:rsidRDefault="009E0917" w:rsidP="009E0917">
      <w:pPr>
        <w:autoSpaceDE w:val="0"/>
        <w:autoSpaceDN w:val="0"/>
        <w:adjustRightInd w:val="0"/>
        <w:rPr>
          <w:rStyle w:val="nfasis"/>
          <w:rFonts w:cs="Calibri"/>
          <w:i/>
          <w:color w:val="000000"/>
          <w:sz w:val="22"/>
        </w:rPr>
      </w:pPr>
      <w:r w:rsidRPr="00A052DD">
        <w:rPr>
          <w:rStyle w:val="nfasis"/>
          <w:rFonts w:cs="Calibri"/>
          <w:b/>
          <w:iCs/>
          <w:color w:val="000000"/>
          <w:sz w:val="22"/>
        </w:rPr>
        <w:t>1123.</w:t>
      </w:r>
      <w:r w:rsidRPr="00CC710A">
        <w:rPr>
          <w:rStyle w:val="nfasis"/>
          <w:rFonts w:cs="Calibri"/>
          <w:b/>
          <w:iCs/>
          <w:color w:val="000000"/>
          <w:sz w:val="22"/>
        </w:rPr>
        <w:t>- Deudores Diversos por Cobrar a Corto Plazo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El saldo de esta cuenta es de</w:t>
      </w:r>
      <w:r>
        <w:rPr>
          <w:rStyle w:val="nfasis"/>
          <w:rFonts w:cs="Calibri"/>
          <w:color w:val="000000"/>
          <w:sz w:val="22"/>
        </w:rPr>
        <w:t xml:space="preserve"> 187,006,235.35</w:t>
      </w:r>
      <w:r w:rsidR="00EF6FB6">
        <w:rPr>
          <w:rStyle w:val="nfasis"/>
          <w:rFonts w:cs="Calibri"/>
          <w:color w:val="000000"/>
          <w:sz w:val="22"/>
        </w:rPr>
        <w:t xml:space="preserve"> </w:t>
      </w:r>
      <w:r w:rsidRPr="00336D65">
        <w:rPr>
          <w:rStyle w:val="nfasis"/>
          <w:rFonts w:asciiTheme="minorHAnsi" w:hAnsiTheme="minorHAnsi" w:cstheme="minorHAnsi"/>
          <w:color w:val="000000"/>
          <w:sz w:val="22"/>
        </w:rPr>
        <w:t>pesos</w:t>
      </w:r>
      <w:r w:rsidRPr="00CC710A">
        <w:rPr>
          <w:rStyle w:val="nfasis"/>
          <w:rFonts w:cs="Calibri"/>
          <w:color w:val="000000"/>
          <w:sz w:val="22"/>
        </w:rPr>
        <w:t>, integrada por los derechos de cobro a favor del ente público por responsabilidades derivadas de cargos por cheques devueltos por el Banco, entre otros.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Deudores Diversos por Cobrar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cantSplit/>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Responsabilidades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140,216.70</w:t>
            </w:r>
          </w:p>
        </w:tc>
      </w:tr>
      <w:tr w:rsidR="009E0917" w:rsidRPr="00204998" w:rsidTr="00324C4E">
        <w:trPr>
          <w:cantSplit/>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Responsabilidades 2016 y Anteriores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478,214.40</w:t>
            </w:r>
          </w:p>
        </w:tc>
      </w:tr>
      <w:tr w:rsidR="009E0917" w:rsidRPr="00204998" w:rsidTr="00324C4E">
        <w:trPr>
          <w:cantSplit/>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Gastos por Comprobar</w:t>
            </w:r>
          </w:p>
        </w:tc>
        <w:tc>
          <w:tcPr>
            <w:tcW w:w="2140" w:type="dxa"/>
            <w:tcBorders>
              <w:top w:val="nil"/>
              <w:left w:val="nil"/>
              <w:bottom w:val="nil"/>
              <w:right w:val="nil"/>
            </w:tcBorders>
            <w:shd w:val="clear" w:color="auto" w:fill="auto"/>
            <w:hideMark/>
          </w:tcPr>
          <w:p w:rsidR="009E0917" w:rsidRPr="00202534" w:rsidRDefault="009E0917" w:rsidP="00324C4E">
            <w:pPr>
              <w:jc w:val="right"/>
              <w:rPr>
                <w:rFonts w:asciiTheme="minorHAnsi" w:hAnsiTheme="minorHAnsi" w:cstheme="minorHAnsi"/>
                <w:color w:val="000000"/>
              </w:rPr>
            </w:pPr>
            <w:r>
              <w:rPr>
                <w:rFonts w:asciiTheme="minorHAnsi" w:hAnsiTheme="minorHAnsi" w:cstheme="minorHAnsi"/>
                <w:sz w:val="22"/>
                <w:lang w:eastAsia="es-MX"/>
              </w:rPr>
              <w:t>186,387,804.25</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181E5E" w:rsidRDefault="009E0917" w:rsidP="00324C4E">
            <w:pPr>
              <w:jc w:val="right"/>
              <w:rPr>
                <w:b/>
                <w:bCs/>
                <w:color w:val="000000"/>
              </w:rPr>
            </w:pPr>
            <w:r w:rsidRPr="00181E5E">
              <w:rPr>
                <w:rStyle w:val="nfasis"/>
                <w:rFonts w:cs="Calibri"/>
                <w:b/>
                <w:sz w:val="22"/>
              </w:rPr>
              <w:t>187,006,235.35</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CC710A" w:rsidRDefault="009E0917" w:rsidP="009E0917">
      <w:pPr>
        <w:rPr>
          <w:rStyle w:val="nfasis"/>
          <w:rFonts w:cs="Calibri"/>
          <w:color w:val="000000"/>
          <w:sz w:val="22"/>
        </w:rPr>
      </w:pPr>
      <w:r w:rsidRPr="00CC710A">
        <w:rPr>
          <w:rStyle w:val="nfasis"/>
          <w:rFonts w:cs="Calibri"/>
          <w:b/>
          <w:color w:val="000000"/>
          <w:sz w:val="22"/>
        </w:rPr>
        <w:t>1125.- Deudores por Anticipos de la Tesorería a Corto Plazo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esta cuenta es de </w:t>
      </w:r>
      <w:r>
        <w:rPr>
          <w:rStyle w:val="nfasis"/>
          <w:rFonts w:cs="Calibri"/>
          <w:color w:val="000000"/>
          <w:sz w:val="22"/>
        </w:rPr>
        <w:t xml:space="preserve">233,049,223.43 </w:t>
      </w:r>
      <w:r w:rsidRPr="00CC710A">
        <w:rPr>
          <w:rStyle w:val="nfasis"/>
          <w:rFonts w:cs="Calibri"/>
          <w:color w:val="000000"/>
          <w:sz w:val="22"/>
        </w:rPr>
        <w:t>pesos, distribui</w:t>
      </w:r>
      <w:r w:rsidR="00AD7C13">
        <w:rPr>
          <w:rStyle w:val="nfasis"/>
          <w:rFonts w:cs="Calibri"/>
          <w:color w:val="000000"/>
          <w:sz w:val="22"/>
        </w:rPr>
        <w:t>dos en los siguientes conceptos.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Deudores por Anticipos de la Tesorería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val="22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Fondos descentralizados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53,674,065.99</w:t>
            </w:r>
          </w:p>
        </w:tc>
      </w:tr>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lastRenderedPageBreak/>
              <w:t>Deudores por Anticipos de la Tesorería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Pagos Anticipados a Dependencias y Organismos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148,975,157.44</w:t>
            </w:r>
          </w:p>
        </w:tc>
      </w:tr>
      <w:tr w:rsidR="009E0917" w:rsidRPr="00204998" w:rsidTr="00324C4E">
        <w:trPr>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Anticipos Especiales a Cuenta de Participaciones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30,400,000.00</w:t>
            </w:r>
          </w:p>
        </w:tc>
      </w:tr>
      <w:tr w:rsidR="009E0917" w:rsidRPr="00C6280F"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181E5E" w:rsidRDefault="009E0917" w:rsidP="00324C4E">
            <w:pPr>
              <w:jc w:val="right"/>
              <w:rPr>
                <w:b/>
                <w:bCs/>
                <w:color w:val="000000"/>
              </w:rPr>
            </w:pPr>
            <w:r w:rsidRPr="00181E5E">
              <w:rPr>
                <w:rStyle w:val="nfasis"/>
                <w:rFonts w:cs="Calibri"/>
                <w:b/>
                <w:sz w:val="22"/>
              </w:rPr>
              <w:t>233,049,223.43</w:t>
            </w:r>
          </w:p>
        </w:tc>
      </w:tr>
    </w:tbl>
    <w:p w:rsidR="009E0917" w:rsidRDefault="009E0917" w:rsidP="009E0917">
      <w:pPr>
        <w:pStyle w:val="Texto"/>
        <w:spacing w:after="0" w:line="276" w:lineRule="auto"/>
        <w:ind w:firstLine="0"/>
        <w:rPr>
          <w:rStyle w:val="nfasis"/>
          <w:rFonts w:ascii="Calibri" w:hAnsi="Calibri" w:cs="Calibri"/>
          <w:b/>
          <w:color w:val="000000"/>
          <w:sz w:val="22"/>
          <w:szCs w:val="22"/>
        </w:rPr>
      </w:pPr>
    </w:p>
    <w:p w:rsidR="009E0917" w:rsidRDefault="009E0917" w:rsidP="009E0917">
      <w:pPr>
        <w:pStyle w:val="Texto"/>
        <w:spacing w:after="0" w:line="276" w:lineRule="auto"/>
        <w:ind w:firstLine="0"/>
        <w:rPr>
          <w:rStyle w:val="nfasis"/>
          <w:rFonts w:ascii="Calibri" w:hAnsi="Calibri" w:cs="Calibri"/>
          <w:b/>
          <w:color w:val="000000"/>
          <w:sz w:val="22"/>
          <w:szCs w:val="22"/>
        </w:rPr>
      </w:pPr>
    </w:p>
    <w:p w:rsidR="009E0917" w:rsidRPr="00076483" w:rsidRDefault="009E0917" w:rsidP="009E0917">
      <w:pPr>
        <w:pStyle w:val="Texto"/>
        <w:spacing w:after="0" w:line="276" w:lineRule="auto"/>
        <w:ind w:firstLine="0"/>
        <w:rPr>
          <w:rFonts w:ascii="Calibri" w:hAnsi="Calibri" w:cs="Calibri"/>
          <w:iCs/>
          <w:color w:val="000000"/>
          <w:sz w:val="22"/>
          <w:szCs w:val="22"/>
        </w:rPr>
      </w:pPr>
      <w:r w:rsidRPr="00112022">
        <w:rPr>
          <w:rStyle w:val="nfasis"/>
          <w:rFonts w:ascii="Calibri" w:hAnsi="Calibri" w:cs="Calibri"/>
          <w:b/>
          <w:color w:val="000000"/>
          <w:sz w:val="22"/>
          <w:szCs w:val="22"/>
        </w:rPr>
        <w:t>113.- Derechos a Recibir Bienes o Servicios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076483">
        <w:rPr>
          <w:rFonts w:ascii="Calibri" w:hAnsi="Calibri" w:cs="Calibri"/>
          <w:iCs/>
          <w:color w:val="000000"/>
          <w:sz w:val="22"/>
          <w:szCs w:val="22"/>
        </w:rPr>
        <w:t>Son los anticipos entregados previo a la recepción parcial o total de bienes o prestación de servicios, que serán exigibles en un plazo menor o igual a doce meses.</w:t>
      </w:r>
    </w:p>
    <w:p w:rsidR="009E0917" w:rsidRDefault="009E0917" w:rsidP="009E0917">
      <w:pPr>
        <w:pStyle w:val="Texto"/>
        <w:spacing w:after="0" w:line="276" w:lineRule="auto"/>
        <w:ind w:firstLine="0"/>
        <w:rPr>
          <w:rStyle w:val="nfasis"/>
          <w:rFonts w:ascii="Calibri" w:hAnsi="Calibri" w:cs="Calibri"/>
          <w:i/>
          <w:color w:val="000000"/>
          <w:sz w:val="22"/>
          <w:szCs w:val="22"/>
        </w:rPr>
      </w:pPr>
    </w:p>
    <w:p w:rsidR="009E0917" w:rsidRDefault="009E0917" w:rsidP="009E0917">
      <w:pPr>
        <w:pStyle w:val="Texto"/>
        <w:spacing w:after="0" w:line="276" w:lineRule="auto"/>
        <w:ind w:firstLine="0"/>
        <w:rPr>
          <w:rStyle w:val="nfasis"/>
          <w:rFonts w:ascii="Calibri" w:hAnsi="Calibri" w:cs="Calibri"/>
          <w:i/>
          <w:color w:val="000000"/>
          <w:sz w:val="22"/>
          <w:szCs w:val="22"/>
        </w:rPr>
      </w:pPr>
    </w:p>
    <w:p w:rsidR="009E0917" w:rsidRDefault="009E0917" w:rsidP="009E0917">
      <w:pPr>
        <w:pStyle w:val="Texto"/>
        <w:spacing w:after="0" w:line="276" w:lineRule="auto"/>
        <w:ind w:firstLine="0"/>
        <w:rPr>
          <w:rFonts w:ascii="Calibri" w:hAnsi="Calibri" w:cs="Calibri"/>
          <w:i/>
          <w:color w:val="000000"/>
          <w:sz w:val="22"/>
          <w:szCs w:val="22"/>
        </w:rPr>
      </w:pPr>
      <w:r w:rsidRPr="0054310B">
        <w:rPr>
          <w:rStyle w:val="nfasis"/>
          <w:rFonts w:ascii="Calibri" w:hAnsi="Calibri" w:cs="Calibri"/>
          <w:b/>
          <w:iCs/>
          <w:color w:val="000000"/>
          <w:sz w:val="22"/>
          <w:szCs w:val="22"/>
        </w:rPr>
        <w:t xml:space="preserve">1131.- Anticipo a Proveedores por Adquisición de Bienes y Prestación de Servicios a Corto </w:t>
      </w:r>
      <w:r w:rsidR="007F0A36" w:rsidRPr="0054310B">
        <w:rPr>
          <w:rStyle w:val="nfasis"/>
          <w:rFonts w:ascii="Calibri" w:hAnsi="Calibri" w:cs="Calibri"/>
          <w:b/>
          <w:iCs/>
          <w:color w:val="000000"/>
          <w:sz w:val="22"/>
          <w:szCs w:val="22"/>
        </w:rPr>
        <w:t>Plazo</w:t>
      </w:r>
      <w:r w:rsidR="00F23D88" w:rsidRPr="00CC710A">
        <w:rPr>
          <w:rStyle w:val="nfasis"/>
          <w:rFonts w:cs="Calibri"/>
          <w:b/>
          <w:color w:val="000000"/>
          <w:sz w:val="22"/>
        </w:rPr>
        <w:t>.</w:t>
      </w:r>
      <w:r w:rsidR="00F23D88" w:rsidRPr="00F23D88">
        <w:rPr>
          <w:rStyle w:val="nfasis"/>
          <w:rFonts w:cs="Calibri"/>
          <w:color w:val="000000"/>
          <w:sz w:val="22"/>
        </w:rPr>
        <w:t xml:space="preserve">- </w:t>
      </w:r>
      <w:r w:rsidR="007F0A36" w:rsidRPr="00884596">
        <w:rPr>
          <w:rFonts w:ascii="Calibri" w:hAnsi="Calibri" w:cs="Calibri"/>
          <w:iCs/>
          <w:color w:val="000000"/>
          <w:sz w:val="22"/>
          <w:szCs w:val="22"/>
        </w:rPr>
        <w:t xml:space="preserve"> El</w:t>
      </w:r>
      <w:r w:rsidRPr="00884596">
        <w:rPr>
          <w:rFonts w:ascii="Calibri" w:hAnsi="Calibri" w:cs="Calibri"/>
          <w:iCs/>
          <w:color w:val="000000"/>
          <w:sz w:val="22"/>
          <w:szCs w:val="22"/>
        </w:rPr>
        <w:t xml:space="preserve"> saldo por </w:t>
      </w:r>
      <w:r>
        <w:rPr>
          <w:rFonts w:ascii="Calibri" w:hAnsi="Calibri" w:cs="Calibri"/>
          <w:iCs/>
          <w:color w:val="000000"/>
          <w:sz w:val="22"/>
          <w:szCs w:val="22"/>
        </w:rPr>
        <w:t>135,105,679.49</w:t>
      </w:r>
      <w:r w:rsidRPr="00884596">
        <w:rPr>
          <w:rFonts w:ascii="Calibri" w:hAnsi="Calibri" w:cs="Calibri"/>
          <w:iCs/>
          <w:color w:val="000000"/>
          <w:sz w:val="22"/>
          <w:szCs w:val="22"/>
        </w:rPr>
        <w:t xml:space="preserve"> pesos corresponde a los anticipos entregados a proveedores por adquisición de bienes y prestación de servicios, previo a la recepción parcial o total, que serán exigibles en un plazo menor o igual a doce meses.</w:t>
      </w:r>
    </w:p>
    <w:p w:rsidR="009E0917" w:rsidRPr="0054310B" w:rsidRDefault="009E0917" w:rsidP="009E0917">
      <w:pPr>
        <w:pStyle w:val="Texto"/>
        <w:spacing w:after="0" w:line="276" w:lineRule="auto"/>
        <w:ind w:firstLine="0"/>
        <w:rPr>
          <w:rFonts w:ascii="Calibri" w:hAnsi="Calibri" w:cs="Calibri"/>
          <w:i/>
          <w:color w:val="000000"/>
          <w:sz w:val="22"/>
          <w:szCs w:val="22"/>
        </w:rPr>
      </w:pP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600"/>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Anticipo a Proveedores por Adquisición de Bienes y Prestación de Servicios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Proveedores de Uniformes Escolares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70,375,916.30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Anticipo a Proveedores por Adq. De Bienes de Consumo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64,373,295.20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Anticipo a Proveedores por Prestación de Servicios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356,467.99</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43782C" w:rsidRDefault="009E0917" w:rsidP="00324C4E">
            <w:pPr>
              <w:jc w:val="right"/>
              <w:rPr>
                <w:b/>
                <w:bCs/>
                <w:iCs/>
                <w:color w:val="000000"/>
              </w:rPr>
            </w:pPr>
            <w:r>
              <w:rPr>
                <w:rFonts w:cs="Calibri"/>
                <w:b/>
                <w:bCs/>
                <w:iCs/>
                <w:color w:val="000000"/>
                <w:sz w:val="22"/>
              </w:rPr>
              <w:t>135,105,679.49</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1132.- Anticipo a Proveedores por Adquisición de Bienes Inmuebles y Muebles a Corto Plazo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Con un saldo de </w:t>
      </w:r>
      <w:r>
        <w:rPr>
          <w:rStyle w:val="nfasis"/>
          <w:rFonts w:cs="Calibri"/>
          <w:color w:val="000000"/>
          <w:sz w:val="22"/>
        </w:rPr>
        <w:t xml:space="preserve">37,725,405.66 </w:t>
      </w:r>
      <w:r w:rsidRPr="00CC710A">
        <w:rPr>
          <w:rStyle w:val="nfasis"/>
          <w:rFonts w:cs="Calibri"/>
          <w:color w:val="000000"/>
          <w:sz w:val="22"/>
        </w:rPr>
        <w:t>pesos, son los anticipos entregados a proveedores por adquisición de bienes inmuebles y muebles, previo a la recepción parcial o total, serán exigibles en un plazo menor o igual a doce meses.</w:t>
      </w:r>
    </w:p>
    <w:p w:rsidR="009E0917" w:rsidRPr="008D721B" w:rsidRDefault="009E0917" w:rsidP="009E0917">
      <w:pPr>
        <w:rPr>
          <w:rStyle w:val="nfasis"/>
          <w:rFonts w:cs="Calibri"/>
          <w:color w:val="000000"/>
          <w:sz w:val="18"/>
          <w:szCs w:val="18"/>
        </w:rPr>
      </w:pPr>
    </w:p>
    <w:p w:rsidR="009E0917" w:rsidRPr="00FF0821" w:rsidRDefault="009E0917" w:rsidP="009E0917">
      <w:pPr>
        <w:rPr>
          <w:rStyle w:val="nfasis"/>
          <w:rFonts w:cs="Calibri"/>
          <w:color w:val="000000"/>
          <w:sz w:val="22"/>
        </w:rPr>
      </w:pPr>
      <w:r w:rsidRPr="00CC710A">
        <w:rPr>
          <w:rStyle w:val="nfasis"/>
          <w:rFonts w:cs="Calibri"/>
          <w:b/>
          <w:color w:val="000000"/>
          <w:sz w:val="22"/>
        </w:rPr>
        <w:t>116.- Estimación por Pérdida o Deterioro de activos Circulante</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Representa el monto de la estimación que se establece anualmente por contingencia, de acuerdo a los lineamientos que emite el CONAC, con el fin de proveer las pérdidas o el deterioro de los activos circulantes que correspondan.</w:t>
      </w:r>
    </w:p>
    <w:p w:rsidR="009E0917" w:rsidRPr="008D721B" w:rsidRDefault="009E0917" w:rsidP="009E0917">
      <w:pPr>
        <w:rPr>
          <w:rStyle w:val="nfasis"/>
          <w:rFonts w:cs="Calibri"/>
          <w:b/>
          <w:color w:val="000000"/>
          <w:sz w:val="18"/>
          <w:szCs w:val="18"/>
        </w:rPr>
      </w:pPr>
    </w:p>
    <w:p w:rsidR="009E0917" w:rsidRDefault="009E0917" w:rsidP="009E0917">
      <w:pPr>
        <w:rPr>
          <w:rStyle w:val="nfasis"/>
          <w:rFonts w:cs="Calibri"/>
          <w:i/>
          <w:color w:val="000000"/>
          <w:sz w:val="22"/>
        </w:rPr>
      </w:pPr>
      <w:r w:rsidRPr="00CC710A">
        <w:rPr>
          <w:rStyle w:val="nfasis"/>
          <w:rFonts w:cs="Calibri"/>
          <w:b/>
          <w:color w:val="000000"/>
          <w:sz w:val="22"/>
        </w:rPr>
        <w:t>1161.- Estimación en Cuentas Incobrables por Derechos a Recibir Efectivo o Equivalente</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I</w:t>
      </w:r>
      <w:r w:rsidRPr="00CC710A">
        <w:rPr>
          <w:rStyle w:val="nfasis"/>
          <w:rFonts w:cs="Calibri"/>
          <w:iCs/>
          <w:color w:val="000000"/>
          <w:sz w:val="22"/>
        </w:rPr>
        <w:t xml:space="preserve">ndica el monto de la estimación que se establece anualmente por contingencia, de acuerdo a los </w:t>
      </w:r>
      <w:r w:rsidRPr="00CC710A">
        <w:rPr>
          <w:rStyle w:val="nfasis"/>
          <w:rFonts w:cs="Calibri"/>
          <w:iCs/>
          <w:color w:val="000000"/>
          <w:sz w:val="22"/>
        </w:rPr>
        <w:lastRenderedPageBreak/>
        <w:t xml:space="preserve">lineamientos que emite el CONAC, con el fin de proveer las pérdidas derivadas de la incobrabilidad de los derechos a recibir efectivo o equivalente, que corresponde y su </w:t>
      </w:r>
      <w:r w:rsidR="00AD7C13">
        <w:rPr>
          <w:rStyle w:val="nfasis"/>
          <w:rFonts w:cs="Calibri"/>
          <w:iCs/>
          <w:color w:val="000000"/>
          <w:sz w:val="22"/>
        </w:rPr>
        <w:t>saldo es de   -460,909.55 pesos.</w:t>
      </w:r>
    </w:p>
    <w:p w:rsidR="009E0917" w:rsidRDefault="009E0917" w:rsidP="009E0917">
      <w:pPr>
        <w:rPr>
          <w:rStyle w:val="nfasis"/>
          <w:rFonts w:cs="Calibri"/>
          <w:color w:val="000000"/>
          <w:sz w:val="22"/>
        </w:rPr>
      </w:pPr>
      <w:r w:rsidRPr="00CC710A">
        <w:rPr>
          <w:rStyle w:val="nfasis"/>
          <w:rFonts w:cs="Calibri"/>
          <w:b/>
          <w:color w:val="000000"/>
          <w:sz w:val="22"/>
        </w:rPr>
        <w:t>121.- Inversiones financieras a Largo Plazo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Recursos excedentes del ente público, invertidos en títulos, valores e instrumentos financieros, su recuperación se efectuará en un plazo mayor a doce meses.</w:t>
      </w:r>
    </w:p>
    <w:p w:rsidR="009E0917" w:rsidRDefault="009E0917" w:rsidP="009E0917">
      <w:pPr>
        <w:rPr>
          <w:rStyle w:val="nfasis"/>
          <w:rFonts w:cs="Calibri"/>
          <w:i/>
          <w:color w:val="000000"/>
          <w:sz w:val="22"/>
        </w:rPr>
      </w:pPr>
    </w:p>
    <w:p w:rsidR="009E0917" w:rsidRPr="00FF0821" w:rsidRDefault="009E0917" w:rsidP="009E0917">
      <w:pPr>
        <w:rPr>
          <w:rStyle w:val="nfasis"/>
          <w:rFonts w:cs="Calibri"/>
          <w:i/>
          <w:color w:val="000000"/>
          <w:sz w:val="22"/>
        </w:rPr>
      </w:pPr>
      <w:r w:rsidRPr="00CC710A">
        <w:rPr>
          <w:rStyle w:val="nfasis"/>
          <w:rFonts w:cs="Calibri"/>
          <w:b/>
          <w:color w:val="000000"/>
          <w:sz w:val="22"/>
        </w:rPr>
        <w:t>1213.- Fideicomisos, Mandatos y Contratos Análogos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w:t>
      </w:r>
      <w:r>
        <w:rPr>
          <w:rStyle w:val="nfasis"/>
          <w:rFonts w:cs="Calibri"/>
          <w:color w:val="000000"/>
          <w:sz w:val="22"/>
        </w:rPr>
        <w:t xml:space="preserve">431,038,953.33 </w:t>
      </w:r>
      <w:r w:rsidRPr="00CC710A">
        <w:rPr>
          <w:rStyle w:val="nfasis"/>
          <w:rFonts w:cs="Calibri"/>
          <w:color w:val="000000"/>
          <w:sz w:val="22"/>
        </w:rPr>
        <w:t>pesos representa el monto de los recursos destinados a fideicomisos, mandatos y contratos análogos para el ejercicio de las funciones encomendadas.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Fideicomisos, Mandatos y Contratos Análogos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Fideicomisos, Mandatos y Contratos Análogos del Poder Ejecutivo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329,524,578.68</w:t>
            </w:r>
          </w:p>
        </w:tc>
      </w:tr>
      <w:tr w:rsidR="009E0917" w:rsidRPr="00204998" w:rsidTr="00324C4E">
        <w:trPr>
          <w:trHeight w:hRule="exact" w:val="340"/>
          <w:jc w:val="center"/>
        </w:trPr>
        <w:tc>
          <w:tcPr>
            <w:tcW w:w="6460" w:type="dxa"/>
            <w:vMerge w:val="restart"/>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F</w:t>
            </w:r>
            <w:r w:rsidRPr="00CC710A">
              <w:rPr>
                <w:color w:val="000000"/>
                <w:sz w:val="22"/>
              </w:rPr>
              <w:t>ideicomisos, Mandatos y Contratos Análogos Públicos no Empresariales y no Financieros</w:t>
            </w:r>
          </w:p>
        </w:tc>
        <w:tc>
          <w:tcPr>
            <w:tcW w:w="2140" w:type="dxa"/>
            <w:vMerge w:val="restart"/>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101,477,766.59</w:t>
            </w:r>
          </w:p>
        </w:tc>
      </w:tr>
      <w:tr w:rsidR="009E0917" w:rsidRPr="00204998" w:rsidTr="00324C4E">
        <w:trPr>
          <w:trHeight w:hRule="exact" w:val="340"/>
          <w:jc w:val="center"/>
        </w:trPr>
        <w:tc>
          <w:tcPr>
            <w:tcW w:w="6460" w:type="dxa"/>
            <w:vMerge/>
            <w:tcBorders>
              <w:top w:val="nil"/>
              <w:left w:val="nil"/>
              <w:bottom w:val="nil"/>
              <w:right w:val="nil"/>
            </w:tcBorders>
            <w:vAlign w:val="center"/>
            <w:hideMark/>
          </w:tcPr>
          <w:p w:rsidR="009E0917" w:rsidRPr="00CC710A" w:rsidRDefault="009E0917" w:rsidP="00324C4E">
            <w:pPr>
              <w:rPr>
                <w:color w:val="000000"/>
              </w:rPr>
            </w:pPr>
          </w:p>
        </w:tc>
        <w:tc>
          <w:tcPr>
            <w:tcW w:w="2140" w:type="dxa"/>
            <w:vMerge/>
            <w:tcBorders>
              <w:top w:val="nil"/>
              <w:left w:val="nil"/>
              <w:bottom w:val="nil"/>
              <w:right w:val="nil"/>
            </w:tcBorders>
            <w:vAlign w:val="center"/>
            <w:hideMark/>
          </w:tcPr>
          <w:p w:rsidR="009E0917" w:rsidRPr="00CC710A" w:rsidRDefault="009E0917" w:rsidP="00324C4E">
            <w:pPr>
              <w:rPr>
                <w:color w:val="000000"/>
              </w:rPr>
            </w:pPr>
          </w:p>
        </w:tc>
      </w:tr>
      <w:tr w:rsidR="009E0917" w:rsidRPr="00204998" w:rsidTr="00324C4E">
        <w:trPr>
          <w:trHeight w:hRule="exact" w:val="340"/>
          <w:jc w:val="center"/>
        </w:trPr>
        <w:tc>
          <w:tcPr>
            <w:tcW w:w="6460" w:type="dxa"/>
            <w:vMerge w:val="restart"/>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Fideicomisos, Mandatos y Contratos Análogos Públicos Empresariales y no Financieros</w:t>
            </w:r>
          </w:p>
        </w:tc>
        <w:tc>
          <w:tcPr>
            <w:tcW w:w="2140" w:type="dxa"/>
            <w:vMerge w:val="restart"/>
            <w:tcBorders>
              <w:top w:val="nil"/>
              <w:left w:val="nil"/>
              <w:bottom w:val="nil"/>
              <w:right w:val="nil"/>
            </w:tcBorders>
            <w:shd w:val="clear" w:color="auto" w:fill="auto"/>
            <w:hideMark/>
          </w:tcPr>
          <w:p w:rsidR="009E0917" w:rsidRPr="00CC710A" w:rsidRDefault="009E0917" w:rsidP="00324C4E">
            <w:pPr>
              <w:jc w:val="right"/>
              <w:rPr>
                <w:color w:val="000000"/>
              </w:rPr>
            </w:pPr>
            <w:r w:rsidRPr="00BE5A9B">
              <w:rPr>
                <w:color w:val="000000"/>
                <w:sz w:val="22"/>
              </w:rPr>
              <w:t>36,608.06</w:t>
            </w:r>
          </w:p>
        </w:tc>
      </w:tr>
      <w:tr w:rsidR="009E0917" w:rsidRPr="00204998" w:rsidTr="00324C4E">
        <w:trPr>
          <w:trHeight w:val="497"/>
          <w:jc w:val="center"/>
        </w:trPr>
        <w:tc>
          <w:tcPr>
            <w:tcW w:w="6460" w:type="dxa"/>
            <w:vMerge/>
            <w:tcBorders>
              <w:top w:val="nil"/>
              <w:left w:val="nil"/>
              <w:bottom w:val="nil"/>
              <w:right w:val="nil"/>
            </w:tcBorders>
            <w:vAlign w:val="center"/>
            <w:hideMark/>
          </w:tcPr>
          <w:p w:rsidR="009E0917" w:rsidRPr="00CC710A" w:rsidRDefault="009E0917" w:rsidP="00324C4E">
            <w:pPr>
              <w:rPr>
                <w:color w:val="000000"/>
              </w:rPr>
            </w:pPr>
          </w:p>
        </w:tc>
        <w:tc>
          <w:tcPr>
            <w:tcW w:w="2140" w:type="dxa"/>
            <w:vMerge/>
            <w:tcBorders>
              <w:top w:val="nil"/>
              <w:left w:val="nil"/>
              <w:bottom w:val="nil"/>
              <w:right w:val="nil"/>
            </w:tcBorders>
            <w:vAlign w:val="center"/>
            <w:hideMark/>
          </w:tcPr>
          <w:p w:rsidR="009E0917" w:rsidRPr="00CC710A" w:rsidRDefault="009E0917" w:rsidP="00324C4E">
            <w:pPr>
              <w:rPr>
                <w:color w:val="000000"/>
              </w:rPr>
            </w:pP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3F1ED5" w:rsidRDefault="009E0917" w:rsidP="00324C4E">
            <w:pPr>
              <w:jc w:val="right"/>
              <w:rPr>
                <w:b/>
                <w:bCs/>
                <w:i/>
                <w:color w:val="000000"/>
              </w:rPr>
            </w:pPr>
            <w:r w:rsidRPr="003F1ED5">
              <w:rPr>
                <w:rStyle w:val="nfasis"/>
                <w:rFonts w:cs="Calibri"/>
                <w:b/>
                <w:sz w:val="22"/>
              </w:rPr>
              <w:t>431,038,953.33</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123.- Bienes Inmuebles, Infraestructura y Construcciones en Proceso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Estos bienes representan el monto de todo tipo de bienes, así como los gastos derivados de actos para su adquisición, adjudicación, expropiación e indemnización y los que se generen por estudios de pre inversión, cuando se realicen por causa de interés público.</w:t>
      </w:r>
    </w:p>
    <w:p w:rsidR="009E0917" w:rsidRDefault="009E0917" w:rsidP="009E0917">
      <w:pPr>
        <w:rPr>
          <w:rStyle w:val="nfasis"/>
          <w:rFonts w:cs="Calibri"/>
          <w:b/>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1231.- Terrenos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esta cuenta por </w:t>
      </w:r>
      <w:r>
        <w:rPr>
          <w:rStyle w:val="nfasis"/>
          <w:rFonts w:cs="Calibri"/>
          <w:color w:val="000000"/>
          <w:sz w:val="22"/>
        </w:rPr>
        <w:t xml:space="preserve">943,996,907.51 </w:t>
      </w:r>
      <w:r w:rsidRPr="00CC710A">
        <w:rPr>
          <w:rStyle w:val="nfasis"/>
          <w:rFonts w:cs="Calibri"/>
          <w:color w:val="000000"/>
          <w:sz w:val="22"/>
        </w:rPr>
        <w:t>pesos representa el Valor de los Terrenos y Predios Urbanos.</w:t>
      </w:r>
    </w:p>
    <w:p w:rsidR="009E0917" w:rsidRDefault="009E0917" w:rsidP="009E0917">
      <w:pPr>
        <w:rPr>
          <w:rStyle w:val="nfasis"/>
          <w:rFonts w:cs="Calibri"/>
          <w:b/>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1233.- Edificios no Habitacionales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Es el Valor de los edificios que requiere el ente público para desarrollar sus actividades con saldo acumulado de </w:t>
      </w:r>
      <w:r>
        <w:rPr>
          <w:rStyle w:val="nfasis"/>
          <w:rFonts w:cs="Calibri"/>
          <w:color w:val="000000"/>
          <w:sz w:val="22"/>
        </w:rPr>
        <w:t xml:space="preserve">9,299,200,372.26 </w:t>
      </w:r>
      <w:r w:rsidRPr="00CC710A">
        <w:rPr>
          <w:rStyle w:val="nfasis"/>
          <w:rFonts w:cs="Calibri"/>
          <w:color w:val="000000"/>
          <w:sz w:val="22"/>
        </w:rPr>
        <w:t>pesos.</w:t>
      </w:r>
    </w:p>
    <w:p w:rsidR="009E0917" w:rsidRDefault="009E0917" w:rsidP="009E0917">
      <w:pPr>
        <w:rPr>
          <w:rStyle w:val="nfasis"/>
          <w:rFonts w:cs="Calibri"/>
          <w:b/>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1234.- Infraestructura</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esta cuenta es de </w:t>
      </w:r>
      <w:r>
        <w:rPr>
          <w:rStyle w:val="nfasis"/>
          <w:rFonts w:cs="Calibri"/>
          <w:color w:val="000000"/>
          <w:sz w:val="22"/>
        </w:rPr>
        <w:t xml:space="preserve">7,539,074,978.11 </w:t>
      </w:r>
      <w:r w:rsidRPr="00CC710A">
        <w:rPr>
          <w:rStyle w:val="nfasis"/>
          <w:rFonts w:cs="Calibri"/>
          <w:color w:val="000000"/>
          <w:sz w:val="22"/>
        </w:rPr>
        <w:t>pesos y representa el valor de las inversiones físicas que se consideran necesarias para el desarrollo de una actividad productiva.</w:t>
      </w:r>
    </w:p>
    <w:p w:rsidR="009E0917" w:rsidRPr="0054310B" w:rsidRDefault="009E0917" w:rsidP="009E0917">
      <w:pPr>
        <w:rPr>
          <w:rStyle w:val="nfasis"/>
          <w:rFonts w:cs="Calibri"/>
          <w:color w:val="000000"/>
          <w:sz w:val="22"/>
        </w:rPr>
      </w:pPr>
      <w:r w:rsidRPr="00CC710A">
        <w:rPr>
          <w:rStyle w:val="nfasis"/>
          <w:rFonts w:cs="Calibri"/>
          <w:b/>
          <w:color w:val="000000"/>
          <w:sz w:val="22"/>
        </w:rPr>
        <w:lastRenderedPageBreak/>
        <w:t>1235.- Construcciones en Proceso en Bienes de Dominio Público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Es el monto de las construcciones en proceso, con un saldo de </w:t>
      </w:r>
      <w:r>
        <w:rPr>
          <w:rStyle w:val="nfasis"/>
          <w:rFonts w:cs="Calibri"/>
          <w:color w:val="000000"/>
          <w:sz w:val="22"/>
        </w:rPr>
        <w:t xml:space="preserve">4,736,463,517.00 </w:t>
      </w:r>
      <w:r w:rsidRPr="00CC710A">
        <w:rPr>
          <w:rStyle w:val="nfasis"/>
          <w:rFonts w:cs="Calibri"/>
          <w:color w:val="000000"/>
          <w:sz w:val="22"/>
        </w:rPr>
        <w:t>pesos, or</w:t>
      </w:r>
      <w:r w:rsidR="00AD7C13">
        <w:rPr>
          <w:rStyle w:val="nfasis"/>
          <w:rFonts w:cs="Calibri"/>
          <w:color w:val="000000"/>
          <w:sz w:val="22"/>
        </w:rPr>
        <w:t>ganizados de la siguiente forma.</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Construcciones en Proceso en Bienes de Dominio Público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Edificación Habitacional en Proceso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76,447,523.14</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Edificación no Habitacional en Proceso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2,198,393,632.99</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Construcción de Obras para el Abastecimiento de Agua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268,193,585.43</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División de Terrenos y Construcción de Obras de Urbanización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833,070,496.21</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Construcción de Vías de Comunicación en Proceso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1,345,027,026.25</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Otras Construcciones de Ingeniería Civil u Obra Pesada en Proceso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12,485,958.56</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Instalaciones y Equipamiento en Construcciones en Proceso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2,845,294.42</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BB3704" w:rsidRDefault="009E0917" w:rsidP="00324C4E">
            <w:pPr>
              <w:jc w:val="right"/>
              <w:rPr>
                <w:b/>
                <w:bCs/>
                <w:color w:val="000000"/>
              </w:rPr>
            </w:pPr>
            <w:r w:rsidRPr="00BB3704">
              <w:rPr>
                <w:rStyle w:val="nfasis"/>
                <w:rFonts w:cs="Calibri"/>
                <w:b/>
                <w:sz w:val="22"/>
              </w:rPr>
              <w:t>4,736,463,517.00</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54310B" w:rsidRDefault="009E0917" w:rsidP="009E0917">
      <w:pPr>
        <w:rPr>
          <w:rStyle w:val="nfasis"/>
          <w:rFonts w:cs="Calibri"/>
          <w:color w:val="000000"/>
          <w:sz w:val="22"/>
        </w:rPr>
      </w:pPr>
      <w:r w:rsidRPr="00CC710A">
        <w:rPr>
          <w:rStyle w:val="nfasis"/>
          <w:rFonts w:cs="Calibri"/>
          <w:b/>
          <w:color w:val="000000"/>
          <w:sz w:val="22"/>
        </w:rPr>
        <w:t>1236.- Construcciones en Proceso en Bienes Propios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El saldo es de 10,386,682.29 pesos, mismos que corresponden al monto de las construcciones en proceso, cla</w:t>
      </w:r>
      <w:r w:rsidR="00AD7C13">
        <w:rPr>
          <w:rStyle w:val="nfasis"/>
          <w:rFonts w:cs="Calibri"/>
          <w:color w:val="000000"/>
          <w:sz w:val="22"/>
        </w:rPr>
        <w:t>sificados de la siguiente forma.</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Construcciones en Proceso en Bienes Propios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val="315"/>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Instalaciones y Equipamiento en Construcciones en Proceso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10,386,682.29</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093109" w:rsidRDefault="009E0917" w:rsidP="00324C4E">
            <w:pPr>
              <w:jc w:val="right"/>
              <w:rPr>
                <w:b/>
                <w:bCs/>
                <w:color w:val="000000"/>
              </w:rPr>
            </w:pPr>
            <w:r w:rsidRPr="00093109">
              <w:rPr>
                <w:b/>
                <w:bCs/>
                <w:color w:val="000000"/>
                <w:sz w:val="22"/>
              </w:rPr>
              <w:t>10,386,682.29</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i/>
          <w:color w:val="000000"/>
          <w:sz w:val="22"/>
        </w:rPr>
      </w:pPr>
      <w:r w:rsidRPr="00CC710A">
        <w:rPr>
          <w:rStyle w:val="nfasis"/>
          <w:rFonts w:cs="Calibri"/>
          <w:b/>
          <w:color w:val="000000"/>
          <w:sz w:val="22"/>
        </w:rPr>
        <w:t>1239.- Otros Bienes Inmuebles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Son las adquisiciones de todo tipo de inmuebles, infraestructura y construcciones, con un monto de </w:t>
      </w:r>
      <w:r>
        <w:rPr>
          <w:rStyle w:val="nfasis"/>
          <w:rFonts w:cs="Calibri"/>
          <w:color w:val="000000"/>
          <w:sz w:val="22"/>
        </w:rPr>
        <w:t xml:space="preserve">65,144,658.93 </w:t>
      </w:r>
      <w:r w:rsidRPr="00CC710A">
        <w:rPr>
          <w:rStyle w:val="nfasis"/>
          <w:rFonts w:cs="Calibri"/>
          <w:color w:val="000000"/>
          <w:sz w:val="22"/>
        </w:rPr>
        <w:t xml:space="preserve">pesos. </w:t>
      </w:r>
    </w:p>
    <w:p w:rsidR="009E0917" w:rsidRDefault="009E0917" w:rsidP="009E0917">
      <w:pPr>
        <w:rPr>
          <w:rStyle w:val="nfasis"/>
          <w:rFonts w:cs="Calibri"/>
          <w:i/>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1241.- Mobiliario y Equipo de Administración</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esta cuenta es de </w:t>
      </w:r>
      <w:r>
        <w:rPr>
          <w:rStyle w:val="nfasis"/>
          <w:rFonts w:cs="Calibri"/>
          <w:color w:val="000000"/>
          <w:sz w:val="22"/>
        </w:rPr>
        <w:t xml:space="preserve">878,972,664.70 </w:t>
      </w:r>
      <w:r w:rsidRPr="00CC710A">
        <w:rPr>
          <w:rStyle w:val="nfasis"/>
          <w:rFonts w:cs="Calibri"/>
          <w:color w:val="000000"/>
          <w:sz w:val="22"/>
        </w:rPr>
        <w:t>pesos, su integración se describe a continuación.</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Mobiliario y Equipo de Administración</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Mobiliario  </w:t>
            </w:r>
          </w:p>
        </w:tc>
        <w:tc>
          <w:tcPr>
            <w:tcW w:w="2140" w:type="dxa"/>
            <w:tcBorders>
              <w:top w:val="nil"/>
              <w:left w:val="nil"/>
              <w:bottom w:val="nil"/>
              <w:right w:val="nil"/>
            </w:tcBorders>
            <w:shd w:val="clear" w:color="auto" w:fill="auto"/>
            <w:hideMark/>
          </w:tcPr>
          <w:p w:rsidR="009E0917" w:rsidRPr="007A21B9" w:rsidRDefault="009E0917" w:rsidP="00324C4E">
            <w:pPr>
              <w:jc w:val="right"/>
              <w:rPr>
                <w:color w:val="000000"/>
              </w:rPr>
            </w:pPr>
            <w:r w:rsidRPr="007A21B9">
              <w:rPr>
                <w:color w:val="000000"/>
                <w:sz w:val="22"/>
              </w:rPr>
              <w:t>1</w:t>
            </w:r>
            <w:r>
              <w:rPr>
                <w:sz w:val="22"/>
              </w:rPr>
              <w:t>11,781,176.60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Muebles, excepto de Oficina y Estantería</w:t>
            </w:r>
          </w:p>
        </w:tc>
        <w:tc>
          <w:tcPr>
            <w:tcW w:w="2140" w:type="dxa"/>
            <w:tcBorders>
              <w:top w:val="nil"/>
              <w:left w:val="nil"/>
              <w:bottom w:val="nil"/>
              <w:right w:val="nil"/>
            </w:tcBorders>
            <w:shd w:val="clear" w:color="auto" w:fill="auto"/>
            <w:hideMark/>
          </w:tcPr>
          <w:p w:rsidR="009E0917" w:rsidRPr="007A21B9" w:rsidRDefault="009E0917" w:rsidP="00324C4E">
            <w:pPr>
              <w:jc w:val="right"/>
              <w:rPr>
                <w:color w:val="000000"/>
              </w:rPr>
            </w:pPr>
            <w:r w:rsidRPr="007A21B9">
              <w:rPr>
                <w:color w:val="000000"/>
                <w:sz w:val="22"/>
              </w:rPr>
              <w:t>9</w:t>
            </w:r>
            <w:r w:rsidRPr="007A21B9">
              <w:rPr>
                <w:sz w:val="22"/>
              </w:rPr>
              <w:t>,874,676.27</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Bienes Informáticos                                                                            </w:t>
            </w:r>
          </w:p>
        </w:tc>
        <w:tc>
          <w:tcPr>
            <w:tcW w:w="2140" w:type="dxa"/>
            <w:tcBorders>
              <w:top w:val="nil"/>
              <w:left w:val="nil"/>
              <w:bottom w:val="nil"/>
              <w:right w:val="nil"/>
            </w:tcBorders>
            <w:shd w:val="clear" w:color="auto" w:fill="auto"/>
            <w:hideMark/>
          </w:tcPr>
          <w:p w:rsidR="009E0917" w:rsidRPr="007A21B9" w:rsidRDefault="009E0917" w:rsidP="00324C4E">
            <w:pPr>
              <w:jc w:val="right"/>
              <w:rPr>
                <w:color w:val="000000"/>
              </w:rPr>
            </w:pPr>
            <w:r>
              <w:rPr>
                <w:color w:val="000000"/>
                <w:sz w:val="22"/>
              </w:rPr>
              <w:t>719,776,464.44</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Mobiliario y Equipo de Administración                                             </w:t>
            </w:r>
          </w:p>
        </w:tc>
        <w:tc>
          <w:tcPr>
            <w:tcW w:w="2140" w:type="dxa"/>
            <w:tcBorders>
              <w:top w:val="nil"/>
              <w:left w:val="nil"/>
              <w:bottom w:val="nil"/>
              <w:right w:val="nil"/>
            </w:tcBorders>
            <w:shd w:val="clear" w:color="auto" w:fill="auto"/>
            <w:hideMark/>
          </w:tcPr>
          <w:p w:rsidR="009E0917" w:rsidRPr="007A21B9" w:rsidRDefault="009E0917" w:rsidP="00324C4E">
            <w:pPr>
              <w:jc w:val="right"/>
              <w:rPr>
                <w:color w:val="000000"/>
              </w:rPr>
            </w:pPr>
            <w:r w:rsidRPr="007A21B9">
              <w:rPr>
                <w:color w:val="000000"/>
                <w:sz w:val="22"/>
              </w:rPr>
              <w:t>37,</w:t>
            </w:r>
            <w:r>
              <w:rPr>
                <w:color w:val="000000"/>
                <w:sz w:val="22"/>
              </w:rPr>
              <w:t>540,347.39</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BB3704" w:rsidRDefault="009E0917" w:rsidP="00324C4E">
            <w:pPr>
              <w:jc w:val="right"/>
              <w:rPr>
                <w:b/>
                <w:bCs/>
                <w:color w:val="000000"/>
              </w:rPr>
            </w:pPr>
            <w:r w:rsidRPr="00BB3704">
              <w:rPr>
                <w:rStyle w:val="nfasis"/>
                <w:rFonts w:cs="Calibri"/>
                <w:b/>
                <w:sz w:val="22"/>
              </w:rPr>
              <w:t>878,972,664.70</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54310B" w:rsidRDefault="009E0917" w:rsidP="009E0917">
      <w:pPr>
        <w:rPr>
          <w:rStyle w:val="nfasis"/>
          <w:rFonts w:cs="Calibri"/>
          <w:color w:val="000000"/>
          <w:sz w:val="22"/>
        </w:rPr>
      </w:pPr>
      <w:r w:rsidRPr="00CC710A">
        <w:rPr>
          <w:rStyle w:val="nfasis"/>
          <w:rFonts w:cs="Calibri"/>
          <w:b/>
          <w:color w:val="000000"/>
          <w:sz w:val="22"/>
        </w:rPr>
        <w:t xml:space="preserve">1242.- Mobiliario y </w:t>
      </w:r>
      <w:r w:rsidR="00AD7C13">
        <w:rPr>
          <w:rStyle w:val="nfasis"/>
          <w:rFonts w:cs="Calibri"/>
          <w:b/>
          <w:color w:val="000000"/>
          <w:sz w:val="22"/>
        </w:rPr>
        <w:t>Equipo Educacional y Recreativo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esta cuenta por </w:t>
      </w:r>
      <w:r>
        <w:rPr>
          <w:rStyle w:val="nfasis"/>
          <w:rFonts w:cs="Calibri"/>
          <w:color w:val="000000"/>
          <w:sz w:val="22"/>
        </w:rPr>
        <w:t xml:space="preserve">132,463,531.52 </w:t>
      </w:r>
      <w:r w:rsidRPr="00CC710A">
        <w:rPr>
          <w:rStyle w:val="nfasis"/>
          <w:rFonts w:cs="Calibri"/>
          <w:color w:val="000000"/>
          <w:sz w:val="22"/>
        </w:rPr>
        <w:t>pesos representa el monto de equipos educacio</w:t>
      </w:r>
      <w:r w:rsidR="00AD7C13">
        <w:rPr>
          <w:rStyle w:val="nfasis"/>
          <w:rFonts w:cs="Calibri"/>
          <w:color w:val="000000"/>
          <w:sz w:val="22"/>
        </w:rPr>
        <w:t>nales, deportivos y recreativos.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Mobiliario y Equipo Educacional y Recreativo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Equipos y Aparatos Audiovisuales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4,647,767.42</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Aparatos deportivos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9,754,132.23</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Cámaras, Fotografías y de Video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0132EF">
              <w:rPr>
                <w:color w:val="000000"/>
                <w:sz w:val="22"/>
              </w:rPr>
              <w:t>112,</w:t>
            </w:r>
            <w:r>
              <w:rPr>
                <w:color w:val="000000"/>
                <w:sz w:val="22"/>
              </w:rPr>
              <w:t>759,698.62</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Equipo Educacional y Recreativo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5,301,933.25</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7A21B9" w:rsidRDefault="009E0917" w:rsidP="00324C4E">
            <w:pPr>
              <w:jc w:val="right"/>
              <w:rPr>
                <w:b/>
                <w:bCs/>
                <w:color w:val="000000"/>
              </w:rPr>
            </w:pPr>
            <w:r w:rsidRPr="007A21B9">
              <w:rPr>
                <w:rStyle w:val="nfasis"/>
                <w:rFonts w:cs="Calibri"/>
                <w:b/>
                <w:bCs/>
                <w:color w:val="000000"/>
                <w:sz w:val="22"/>
              </w:rPr>
              <w:t>132,</w:t>
            </w:r>
            <w:r>
              <w:rPr>
                <w:rStyle w:val="nfasis"/>
                <w:rFonts w:cs="Calibri"/>
                <w:b/>
                <w:bCs/>
                <w:color w:val="000000"/>
                <w:sz w:val="22"/>
              </w:rPr>
              <w:t>463,531.52</w:t>
            </w:r>
          </w:p>
        </w:tc>
      </w:tr>
    </w:tbl>
    <w:p w:rsidR="009E0917" w:rsidRPr="00CC710A"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1243.- Equipo e Instrumental Médico y de Laboratorio</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Equipo e Instrumental Médico y de Laboratorio requerido para proporcionar los servicios médicos, hospitalarios y demás actividades de salud, el saldo de esta cuenta </w:t>
      </w:r>
      <w:r>
        <w:rPr>
          <w:rStyle w:val="nfasis"/>
          <w:rFonts w:cs="Calibri"/>
          <w:color w:val="000000"/>
          <w:sz w:val="22"/>
        </w:rPr>
        <w:t xml:space="preserve">158,024,534.07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Equipo e Instrumental Médico y de Laboratorio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Equipo e Instrumental Médico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146,984,856.44</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Instrumental Médico y de Laboratorio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263B06">
              <w:rPr>
                <w:color w:val="000000"/>
                <w:sz w:val="22"/>
              </w:rPr>
              <w:t>11,039,677.63</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CC710A" w:rsidRDefault="009E0917" w:rsidP="00324C4E">
            <w:pPr>
              <w:jc w:val="right"/>
              <w:rPr>
                <w:b/>
                <w:bCs/>
                <w:color w:val="000000"/>
              </w:rPr>
            </w:pPr>
            <w:r>
              <w:rPr>
                <w:b/>
                <w:bCs/>
                <w:color w:val="000000"/>
                <w:sz w:val="22"/>
              </w:rPr>
              <w:t>158,024,534.07</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576010" w:rsidRDefault="009E0917" w:rsidP="009E0917">
      <w:pPr>
        <w:rPr>
          <w:rStyle w:val="nfasis"/>
          <w:rFonts w:cs="Calibri"/>
          <w:color w:val="000000"/>
          <w:sz w:val="22"/>
        </w:rPr>
      </w:pPr>
      <w:r w:rsidRPr="00CC710A">
        <w:rPr>
          <w:rStyle w:val="nfasis"/>
          <w:rFonts w:cs="Calibri"/>
          <w:b/>
          <w:color w:val="000000"/>
          <w:sz w:val="22"/>
        </w:rPr>
        <w:t>1244.- Equipo de Transporte</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monto es de </w:t>
      </w:r>
      <w:r>
        <w:rPr>
          <w:rStyle w:val="nfasis"/>
          <w:rFonts w:cs="Calibri"/>
          <w:color w:val="000000"/>
          <w:sz w:val="22"/>
        </w:rPr>
        <w:t xml:space="preserve">941,208,711.10 </w:t>
      </w:r>
      <w:r w:rsidRPr="00CC710A">
        <w:rPr>
          <w:rStyle w:val="nfasis"/>
          <w:rFonts w:cs="Calibri"/>
          <w:color w:val="000000"/>
          <w:sz w:val="22"/>
        </w:rPr>
        <w:t>pesos que corresponden a toda clase de equipo de transporte terrestre, ferroviario, aéreo, marítimo, lacustre, fluvial y auxiliar de transporte.</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Equipo de Transporte</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Vehículos Y Equipo Terrestre</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767,463,633.02</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Carrocerías y Remolques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263B06">
              <w:rPr>
                <w:color w:val="000000"/>
                <w:sz w:val="22"/>
              </w:rPr>
              <w:t>3,</w:t>
            </w:r>
            <w:r>
              <w:rPr>
                <w:color w:val="000000"/>
                <w:sz w:val="22"/>
              </w:rPr>
              <w:t>470,436.09</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Equipo Aeroespacial</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263B06">
              <w:rPr>
                <w:color w:val="000000"/>
                <w:sz w:val="22"/>
              </w:rPr>
              <w:t>144,987,792.59</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Embarcaciones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1,512,224.40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Otros Equipos de Transporte</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263B06">
              <w:rPr>
                <w:color w:val="000000"/>
                <w:sz w:val="22"/>
              </w:rPr>
              <w:t>23,</w:t>
            </w:r>
            <w:r>
              <w:rPr>
                <w:color w:val="000000"/>
                <w:sz w:val="22"/>
              </w:rPr>
              <w:t>774,625.00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7D2EE6" w:rsidRDefault="009E0917" w:rsidP="00324C4E">
            <w:pPr>
              <w:jc w:val="right"/>
              <w:rPr>
                <w:b/>
                <w:bCs/>
                <w:color w:val="000000"/>
              </w:rPr>
            </w:pPr>
            <w:r w:rsidRPr="007D2EE6">
              <w:rPr>
                <w:rStyle w:val="nfasis"/>
                <w:rFonts w:cs="Calibri"/>
                <w:b/>
                <w:sz w:val="22"/>
              </w:rPr>
              <w:t>941,208,711.10</w:t>
            </w:r>
          </w:p>
        </w:tc>
      </w:tr>
    </w:tbl>
    <w:p w:rsidR="009E0917" w:rsidRDefault="009E0917" w:rsidP="009E0917">
      <w:pPr>
        <w:rPr>
          <w:rStyle w:val="nfasis"/>
          <w:rFonts w:cs="Calibri"/>
          <w:i/>
          <w:color w:val="000000"/>
          <w:sz w:val="22"/>
        </w:rPr>
      </w:pPr>
    </w:p>
    <w:p w:rsidR="009E0917" w:rsidRDefault="009E0917" w:rsidP="009E0917">
      <w:pPr>
        <w:rPr>
          <w:rStyle w:val="nfasis"/>
          <w:rFonts w:cs="Calibri"/>
          <w:i/>
          <w:color w:val="000000"/>
          <w:sz w:val="22"/>
        </w:rPr>
      </w:pPr>
    </w:p>
    <w:p w:rsidR="009E0917" w:rsidRDefault="009E0917" w:rsidP="009E0917">
      <w:pPr>
        <w:rPr>
          <w:rStyle w:val="nfasis"/>
          <w:rFonts w:cs="Calibri"/>
          <w:i/>
          <w:color w:val="000000"/>
          <w:sz w:val="22"/>
        </w:rPr>
      </w:pPr>
      <w:r w:rsidRPr="00CC710A">
        <w:rPr>
          <w:rStyle w:val="nfasis"/>
          <w:rFonts w:cs="Calibri"/>
          <w:b/>
          <w:color w:val="000000"/>
          <w:sz w:val="22"/>
        </w:rPr>
        <w:lastRenderedPageBreak/>
        <w:t>1245.- Equipo de Defensa y Seguridad</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de </w:t>
      </w:r>
      <w:r>
        <w:rPr>
          <w:rStyle w:val="nfasis"/>
          <w:rFonts w:cs="Calibri"/>
          <w:color w:val="000000"/>
          <w:sz w:val="22"/>
        </w:rPr>
        <w:t xml:space="preserve">178,090,336.71 </w:t>
      </w:r>
      <w:r w:rsidRPr="00CC710A">
        <w:rPr>
          <w:rStyle w:val="nfasis"/>
          <w:rFonts w:cs="Calibri"/>
          <w:color w:val="000000"/>
          <w:sz w:val="22"/>
        </w:rPr>
        <w:t>pesos representa la maquinaria y equipo necesario para el desarrollo de las funciones de seguridad pública y demás bienes muebles instrumentales de inversión requeridos durante la ejecución de programas, investigaciones, acciones y actividades en materia de seguridad pública, cuya realización implique riesgo, urgencia y confiabilidad extrema, en cumplimiento de funciones y actividades oficiales.</w:t>
      </w:r>
    </w:p>
    <w:p w:rsidR="009E0917" w:rsidRDefault="009E0917" w:rsidP="009E0917">
      <w:pPr>
        <w:rPr>
          <w:rStyle w:val="nfasis"/>
          <w:rFonts w:cs="Calibri"/>
          <w:i/>
          <w:color w:val="000000"/>
          <w:sz w:val="22"/>
        </w:rPr>
      </w:pPr>
    </w:p>
    <w:p w:rsidR="009E0917" w:rsidRPr="00FF0821" w:rsidRDefault="009E0917" w:rsidP="009E0917">
      <w:pPr>
        <w:rPr>
          <w:rStyle w:val="nfasis"/>
          <w:rFonts w:cs="Calibri"/>
          <w:i/>
          <w:color w:val="000000"/>
          <w:sz w:val="22"/>
        </w:rPr>
      </w:pPr>
      <w:r w:rsidRPr="00CC710A">
        <w:rPr>
          <w:rStyle w:val="nfasis"/>
          <w:rFonts w:cs="Calibri"/>
          <w:b/>
          <w:color w:val="000000"/>
          <w:sz w:val="22"/>
        </w:rPr>
        <w:t>1246.- Maquinaria, Otros Equipos y Herramientas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por </w:t>
      </w:r>
      <w:r>
        <w:rPr>
          <w:rStyle w:val="nfasis"/>
          <w:rFonts w:cs="Calibri"/>
          <w:color w:val="000000"/>
          <w:sz w:val="22"/>
        </w:rPr>
        <w:t xml:space="preserve">656,363,388.16 </w:t>
      </w:r>
      <w:r w:rsidRPr="00CC710A">
        <w:rPr>
          <w:rStyle w:val="nfasis"/>
          <w:rFonts w:cs="Calibri"/>
          <w:color w:val="000000"/>
          <w:sz w:val="22"/>
        </w:rPr>
        <w:t xml:space="preserve">pesos de esta cuenta se identifica con los conceptos y montos </w:t>
      </w:r>
      <w:r w:rsidR="00AD7C13">
        <w:rPr>
          <w:rStyle w:val="nfasis"/>
          <w:rFonts w:cs="Calibri"/>
          <w:color w:val="000000"/>
          <w:sz w:val="22"/>
        </w:rPr>
        <w:t>que a continuación se describen.</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Maquinaria, Otros Equipos y Herramientas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Maquinaria y Equipo Industrial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25,480,220.25</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Maquinaria y Equipo de Construcción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207,553,250.90</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Sistema de Aire Acondicionado, Calefacción y Refrigeración</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44,869,389.25</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Equipos y Aparatos de Comunicación y Telecomunicaciones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287,984,388.22</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Equipo de Generación Eléctrica, Aparatos y Accesorios Eléctricos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14,376,157.26</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Herramientas y Refacciones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3466CC">
              <w:rPr>
                <w:color w:val="000000"/>
                <w:sz w:val="22"/>
              </w:rPr>
              <w:t>8,350,285.37</w:t>
            </w:r>
          </w:p>
        </w:tc>
      </w:tr>
      <w:tr w:rsidR="009E0917" w:rsidRPr="00204998" w:rsidTr="00324C4E">
        <w:trPr>
          <w:cantSplit/>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Otros equipos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67,749,696.91</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7D2EE6" w:rsidRDefault="009E0917" w:rsidP="00324C4E">
            <w:pPr>
              <w:jc w:val="right"/>
              <w:rPr>
                <w:b/>
                <w:bCs/>
                <w:color w:val="000000"/>
              </w:rPr>
            </w:pPr>
            <w:r w:rsidRPr="007D2EE6">
              <w:rPr>
                <w:rStyle w:val="nfasis"/>
                <w:rFonts w:cs="Calibri"/>
                <w:b/>
                <w:sz w:val="22"/>
              </w:rPr>
              <w:t>656,363,388.16</w:t>
            </w:r>
          </w:p>
        </w:tc>
      </w:tr>
    </w:tbl>
    <w:p w:rsidR="009E0917" w:rsidRDefault="009E0917" w:rsidP="009E0917">
      <w:pPr>
        <w:rPr>
          <w:rStyle w:val="nfasis"/>
          <w:rFonts w:cs="Calibri"/>
          <w:i/>
          <w:color w:val="000000"/>
          <w:sz w:val="22"/>
        </w:rPr>
      </w:pPr>
    </w:p>
    <w:p w:rsidR="009E0917" w:rsidRDefault="009E0917" w:rsidP="009E0917">
      <w:pPr>
        <w:rPr>
          <w:rStyle w:val="nfasis"/>
          <w:rFonts w:cs="Calibri"/>
          <w:i/>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1247.- Colecciones, Obras de Arte y Objetos Valiosos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Monto de los bienes artísticos, obras de arte, objetos valiosos y otros elementos coleccionables, con un saldo de 373,391.35 pesos. </w:t>
      </w:r>
    </w:p>
    <w:p w:rsidR="009E0917" w:rsidRDefault="009E0917" w:rsidP="009E0917">
      <w:pPr>
        <w:rPr>
          <w:rStyle w:val="nfasis"/>
          <w:rFonts w:cs="Calibri"/>
          <w:color w:val="000000"/>
          <w:sz w:val="22"/>
        </w:rPr>
      </w:pPr>
    </w:p>
    <w:p w:rsidR="009E0917" w:rsidRPr="0054310B" w:rsidRDefault="009E0917" w:rsidP="009E0917">
      <w:pPr>
        <w:rPr>
          <w:rStyle w:val="nfasis"/>
          <w:rFonts w:cs="Calibri"/>
          <w:color w:val="000000"/>
          <w:sz w:val="22"/>
        </w:rPr>
      </w:pPr>
      <w:r w:rsidRPr="00CC710A">
        <w:rPr>
          <w:rStyle w:val="nfasis"/>
          <w:rFonts w:cs="Calibri"/>
          <w:b/>
          <w:color w:val="000000"/>
          <w:sz w:val="22"/>
        </w:rPr>
        <w:t>124</w:t>
      </w:r>
      <w:r>
        <w:rPr>
          <w:rStyle w:val="nfasis"/>
          <w:rFonts w:cs="Calibri"/>
          <w:b/>
          <w:color w:val="000000"/>
          <w:sz w:val="22"/>
        </w:rPr>
        <w:t>8</w:t>
      </w:r>
      <w:r w:rsidRPr="00CC710A">
        <w:rPr>
          <w:rStyle w:val="nfasis"/>
          <w:rFonts w:cs="Calibri"/>
          <w:b/>
          <w:color w:val="000000"/>
          <w:sz w:val="22"/>
        </w:rPr>
        <w:t>.-</w:t>
      </w:r>
      <w:r w:rsidR="00AD7C13">
        <w:rPr>
          <w:rStyle w:val="nfasis"/>
          <w:rFonts w:cs="Calibri"/>
          <w:b/>
          <w:color w:val="000000"/>
          <w:sz w:val="22"/>
        </w:rPr>
        <w:t>Activos Biológicos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8C7857">
        <w:rPr>
          <w:sz w:val="22"/>
        </w:rPr>
        <w:t xml:space="preserve">Monto </w:t>
      </w:r>
      <w:r w:rsidR="007F0A36" w:rsidRPr="008C7857">
        <w:rPr>
          <w:sz w:val="22"/>
        </w:rPr>
        <w:t>de toda</w:t>
      </w:r>
      <w:r w:rsidRPr="008C7857">
        <w:rPr>
          <w:sz w:val="22"/>
        </w:rPr>
        <w:t xml:space="preserve"> clase de especies animales y otros seres vivos, tanto para su utilización en el trabajo como para su fomento, exhibición y reproducción</w:t>
      </w:r>
      <w:r w:rsidRPr="008C7857">
        <w:rPr>
          <w:rStyle w:val="nfasis"/>
          <w:rFonts w:cs="Calibri"/>
          <w:color w:val="000000"/>
          <w:sz w:val="22"/>
        </w:rPr>
        <w:t>, con un saldo de 416,499.99 pesos.</w:t>
      </w:r>
    </w:p>
    <w:p w:rsidR="009E0917" w:rsidRDefault="009E0917" w:rsidP="009E0917">
      <w:pPr>
        <w:rPr>
          <w:rStyle w:val="nfasis"/>
          <w:rFonts w:cs="Calibri"/>
          <w:b/>
          <w:color w:val="000000"/>
          <w:sz w:val="22"/>
        </w:rPr>
      </w:pPr>
    </w:p>
    <w:p w:rsidR="009E0917" w:rsidRDefault="00AD7C13" w:rsidP="009E0917">
      <w:pPr>
        <w:rPr>
          <w:rStyle w:val="nfasis"/>
          <w:rFonts w:cs="Calibri"/>
          <w:i/>
          <w:color w:val="000000"/>
          <w:sz w:val="22"/>
        </w:rPr>
      </w:pPr>
      <w:r>
        <w:rPr>
          <w:rStyle w:val="nfasis"/>
          <w:rFonts w:cs="Calibri"/>
          <w:b/>
          <w:color w:val="000000"/>
          <w:sz w:val="22"/>
        </w:rPr>
        <w:t>125.- ACTIVOS INTANGIBLES</w:t>
      </w:r>
      <w:r w:rsidRPr="00CC710A">
        <w:rPr>
          <w:rStyle w:val="nfasis"/>
          <w:rFonts w:cs="Calibri"/>
          <w:b/>
          <w:color w:val="000000"/>
          <w:sz w:val="22"/>
        </w:rPr>
        <w:t>.-</w:t>
      </w:r>
      <w:r w:rsidRPr="00CC710A">
        <w:rPr>
          <w:rStyle w:val="nfasis"/>
          <w:rFonts w:cs="Calibri"/>
          <w:color w:val="000000"/>
          <w:sz w:val="22"/>
        </w:rPr>
        <w:t xml:space="preserve"> </w:t>
      </w:r>
      <w:r w:rsidR="009E0917" w:rsidRPr="00CC710A">
        <w:rPr>
          <w:rStyle w:val="nfasis"/>
          <w:rFonts w:cs="Calibri"/>
          <w:color w:val="000000"/>
          <w:sz w:val="22"/>
        </w:rPr>
        <w:t>Derechos por uso de activos de propiedad industrial, comercial, intelectual y otros.</w:t>
      </w:r>
    </w:p>
    <w:p w:rsidR="009E0917" w:rsidRDefault="009E0917" w:rsidP="009E0917">
      <w:pPr>
        <w:rPr>
          <w:rStyle w:val="nfasis"/>
          <w:rFonts w:cs="Calibri"/>
          <w:i/>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1251.- Software</w:t>
      </w:r>
      <w:bookmarkStart w:id="100" w:name="_Hlk35602315"/>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Esta cuenta por </w:t>
      </w:r>
      <w:r>
        <w:rPr>
          <w:rStyle w:val="nfasis"/>
          <w:rFonts w:cs="Calibri"/>
          <w:color w:val="000000"/>
          <w:sz w:val="22"/>
        </w:rPr>
        <w:t xml:space="preserve">533,824,702.03 </w:t>
      </w:r>
      <w:r w:rsidRPr="00CC710A">
        <w:rPr>
          <w:rStyle w:val="nfasis"/>
          <w:rFonts w:cs="Calibri"/>
          <w:color w:val="000000"/>
          <w:sz w:val="22"/>
        </w:rPr>
        <w:t>pesos se refiere a paquetes y programas de informática, aplicados en los sistemas administrativos y operativos computarizados del ente público.</w:t>
      </w:r>
    </w:p>
    <w:bookmarkEnd w:id="100"/>
    <w:p w:rsidR="009E0917" w:rsidRDefault="009E0917" w:rsidP="009E0917">
      <w:pPr>
        <w:rPr>
          <w:rStyle w:val="nfasis"/>
          <w:rFonts w:cs="Calibri"/>
          <w:b/>
          <w:color w:val="000000"/>
          <w:sz w:val="22"/>
        </w:rPr>
      </w:pPr>
    </w:p>
    <w:p w:rsidR="009E0917" w:rsidRDefault="009E0917" w:rsidP="009E0917">
      <w:pPr>
        <w:rPr>
          <w:rStyle w:val="nfasis"/>
          <w:rFonts w:cs="Calibri"/>
          <w:i/>
          <w:color w:val="000000"/>
          <w:sz w:val="22"/>
        </w:rPr>
      </w:pPr>
      <w:r w:rsidRPr="00CC710A">
        <w:rPr>
          <w:rStyle w:val="nfasis"/>
          <w:rFonts w:cs="Calibri"/>
          <w:b/>
          <w:color w:val="000000"/>
          <w:sz w:val="22"/>
        </w:rPr>
        <w:lastRenderedPageBreak/>
        <w:t>1254.- Licencias</w:t>
      </w:r>
      <w:r w:rsidR="00AD7C13" w:rsidRPr="00CC710A">
        <w:rPr>
          <w:rStyle w:val="nfasis"/>
          <w:rFonts w:cs="Calibri"/>
          <w:b/>
          <w:color w:val="000000"/>
          <w:sz w:val="22"/>
        </w:rPr>
        <w:t>.-</w:t>
      </w:r>
      <w:r w:rsidR="00AD7C13" w:rsidRPr="00CC710A">
        <w:rPr>
          <w:rStyle w:val="nfasis"/>
          <w:rFonts w:cs="Calibri"/>
          <w:color w:val="000000"/>
          <w:sz w:val="22"/>
        </w:rPr>
        <w:t xml:space="preserve"> </w:t>
      </w:r>
      <w:r w:rsidRPr="00CC710A">
        <w:rPr>
          <w:rStyle w:val="nfasis"/>
          <w:rFonts w:cs="Calibri"/>
          <w:color w:val="000000"/>
          <w:sz w:val="22"/>
        </w:rPr>
        <w:t xml:space="preserve">El saldo por </w:t>
      </w:r>
      <w:r>
        <w:rPr>
          <w:rStyle w:val="nfasis"/>
          <w:rFonts w:cs="Calibri"/>
          <w:color w:val="000000"/>
          <w:sz w:val="22"/>
        </w:rPr>
        <w:t xml:space="preserve">610,505,543.87 </w:t>
      </w:r>
      <w:r w:rsidRPr="00CC710A">
        <w:rPr>
          <w:rStyle w:val="nfasis"/>
          <w:rFonts w:cs="Calibri"/>
          <w:color w:val="000000"/>
          <w:sz w:val="22"/>
        </w:rPr>
        <w:t>pesos representa el monto de permisos informáticos e intelectuales, así como permisos relacionados con negocios.</w:t>
      </w:r>
    </w:p>
    <w:p w:rsidR="009E0917" w:rsidRDefault="009E0917" w:rsidP="009E0917">
      <w:pPr>
        <w:rPr>
          <w:rStyle w:val="nfasis"/>
          <w:rFonts w:cs="Calibri"/>
          <w:b/>
          <w:color w:val="000000"/>
          <w:sz w:val="22"/>
        </w:rPr>
      </w:pPr>
    </w:p>
    <w:p w:rsidR="009E0917" w:rsidRPr="00FF0821" w:rsidRDefault="009E0917" w:rsidP="009E0917">
      <w:pPr>
        <w:rPr>
          <w:rStyle w:val="nfasis"/>
          <w:rFonts w:cs="Calibri"/>
          <w:i/>
          <w:color w:val="000000"/>
          <w:sz w:val="22"/>
        </w:rPr>
      </w:pPr>
      <w:r w:rsidRPr="00CC710A">
        <w:rPr>
          <w:rStyle w:val="nfasis"/>
          <w:rFonts w:cs="Calibri"/>
          <w:b/>
          <w:color w:val="000000"/>
          <w:sz w:val="22"/>
        </w:rPr>
        <w:t xml:space="preserve">126.- DEPRECIACION, DETERIORO Y ARMONIZACION ACUMULADA DE BIENES E INTANGIBLES </w:t>
      </w:r>
    </w:p>
    <w:p w:rsidR="009E0917" w:rsidRDefault="009E0917" w:rsidP="009E0917">
      <w:pPr>
        <w:rPr>
          <w:rStyle w:val="nfasis"/>
          <w:rFonts w:cs="Calibri"/>
          <w:b/>
          <w:color w:val="000000"/>
          <w:sz w:val="22"/>
        </w:rPr>
      </w:pPr>
    </w:p>
    <w:p w:rsidR="009E0917" w:rsidRPr="00CC710A" w:rsidRDefault="009E0917" w:rsidP="009E0917">
      <w:pPr>
        <w:rPr>
          <w:rStyle w:val="nfasis"/>
          <w:rFonts w:cs="Calibri"/>
          <w:b/>
          <w:i/>
          <w:color w:val="000000"/>
          <w:sz w:val="22"/>
        </w:rPr>
      </w:pPr>
      <w:r w:rsidRPr="00CC710A">
        <w:rPr>
          <w:rStyle w:val="nfasis"/>
          <w:rFonts w:cs="Calibri"/>
          <w:b/>
          <w:color w:val="000000"/>
          <w:sz w:val="22"/>
        </w:rPr>
        <w:t>1261.- Depreciación Acumulada de Bienes Inmuebles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por </w:t>
      </w:r>
      <w:r w:rsidRPr="003466CC">
        <w:rPr>
          <w:rStyle w:val="nfasis"/>
          <w:rFonts w:cs="Calibri"/>
          <w:color w:val="000000"/>
          <w:sz w:val="22"/>
        </w:rPr>
        <w:t>-2,</w:t>
      </w:r>
      <w:r>
        <w:rPr>
          <w:rStyle w:val="nfasis"/>
          <w:rFonts w:cs="Calibri"/>
          <w:color w:val="000000"/>
          <w:sz w:val="22"/>
        </w:rPr>
        <w:t xml:space="preserve">135,177,522.67 </w:t>
      </w:r>
      <w:r w:rsidRPr="00CC710A">
        <w:rPr>
          <w:rStyle w:val="nfasis"/>
          <w:rFonts w:cs="Calibri"/>
          <w:color w:val="000000"/>
          <w:sz w:val="22"/>
        </w:rPr>
        <w:t>pesos corresponde a la depreciación de bienes inmuebles, de acuerdo a los lineamientos que emita el CONAC. Integra los montos acumulados de ejercicios fiscales anteriores.</w:t>
      </w:r>
    </w:p>
    <w:p w:rsidR="009E0917" w:rsidRDefault="009E0917" w:rsidP="009E0917">
      <w:pPr>
        <w:spacing w:line="240" w:lineRule="auto"/>
        <w:rPr>
          <w:rStyle w:val="nfasis"/>
          <w:rFonts w:cs="Calibri"/>
          <w:b/>
          <w:color w:val="000000"/>
          <w:sz w:val="22"/>
        </w:rPr>
      </w:pPr>
    </w:p>
    <w:p w:rsidR="009E0917" w:rsidRPr="00823C04" w:rsidRDefault="009E0917" w:rsidP="009E0917">
      <w:pPr>
        <w:rPr>
          <w:rStyle w:val="nfasis"/>
          <w:rFonts w:cs="Calibri"/>
          <w:color w:val="000000"/>
          <w:sz w:val="22"/>
        </w:rPr>
      </w:pPr>
      <w:r w:rsidRPr="00CC710A">
        <w:rPr>
          <w:rStyle w:val="nfasis"/>
          <w:rFonts w:cs="Calibri"/>
          <w:b/>
          <w:color w:val="000000"/>
          <w:sz w:val="22"/>
        </w:rPr>
        <w:t>1262.- Depreciación Acumulada de Infraestructura</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Depreciación de infraestructura, de acuerdo a los lineamientos CONAC</w:t>
      </w:r>
      <w:r>
        <w:rPr>
          <w:rStyle w:val="nfasis"/>
          <w:rFonts w:cs="Calibri"/>
          <w:color w:val="000000"/>
          <w:sz w:val="22"/>
        </w:rPr>
        <w:t>,</w:t>
      </w:r>
      <w:r w:rsidRPr="00CC710A">
        <w:rPr>
          <w:rStyle w:val="nfasis"/>
          <w:rFonts w:cs="Calibri"/>
          <w:color w:val="000000"/>
          <w:sz w:val="22"/>
        </w:rPr>
        <w:t xml:space="preserve"> acumula los montos de ejercicios fiscales anteriores, c</w:t>
      </w:r>
      <w:r w:rsidR="00291E7C">
        <w:rPr>
          <w:rStyle w:val="nfasis"/>
          <w:rFonts w:cs="Calibri"/>
          <w:color w:val="000000"/>
          <w:sz w:val="22"/>
        </w:rPr>
        <w:t>on un saldo de       -</w:t>
      </w:r>
      <w:r>
        <w:rPr>
          <w:rStyle w:val="nfasis"/>
          <w:rFonts w:cs="Calibri"/>
          <w:color w:val="000000"/>
          <w:sz w:val="22"/>
        </w:rPr>
        <w:t xml:space="preserve">1,923,514,913.24 </w:t>
      </w:r>
      <w:r w:rsidRPr="00CC710A">
        <w:rPr>
          <w:rStyle w:val="nfasis"/>
          <w:rFonts w:cs="Calibri"/>
          <w:color w:val="000000"/>
          <w:sz w:val="22"/>
        </w:rPr>
        <w:t>pesos.</w:t>
      </w: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1263.- Depreciación Acumulada de Bienes Muebles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Depreciación de Bienes Muebles, de acuerdo a los lineamientos CONAC, acumula los montos de ejercicios fiscales anteriores, con un </w:t>
      </w:r>
      <w:r w:rsidR="00291E7C">
        <w:rPr>
          <w:rStyle w:val="nfasis"/>
          <w:rFonts w:cs="Calibri"/>
          <w:color w:val="000000"/>
          <w:sz w:val="22"/>
        </w:rPr>
        <w:t xml:space="preserve"> </w:t>
      </w:r>
      <w:r w:rsidRPr="00CC710A">
        <w:rPr>
          <w:rStyle w:val="nfasis"/>
          <w:rFonts w:cs="Calibri"/>
          <w:color w:val="000000"/>
          <w:sz w:val="22"/>
        </w:rPr>
        <w:t>saldo de</w:t>
      </w:r>
      <w:r w:rsidR="00291E7C">
        <w:rPr>
          <w:rStyle w:val="nfasis"/>
          <w:rFonts w:cs="Calibri"/>
          <w:color w:val="000000"/>
          <w:sz w:val="22"/>
        </w:rPr>
        <w:t xml:space="preserve">    </w:t>
      </w:r>
      <w:r w:rsidRPr="00CC710A">
        <w:rPr>
          <w:rStyle w:val="nfasis"/>
          <w:rFonts w:cs="Calibri"/>
          <w:color w:val="000000"/>
          <w:sz w:val="22"/>
        </w:rPr>
        <w:t xml:space="preserve"> </w:t>
      </w:r>
      <w:r w:rsidRPr="00823C04">
        <w:rPr>
          <w:rStyle w:val="nfasis"/>
          <w:rFonts w:cs="Calibri"/>
          <w:color w:val="000000"/>
          <w:sz w:val="22"/>
        </w:rPr>
        <w:t>-2,</w:t>
      </w:r>
      <w:r>
        <w:rPr>
          <w:rStyle w:val="nfasis"/>
          <w:rFonts w:cs="Calibri"/>
          <w:color w:val="000000"/>
          <w:sz w:val="22"/>
        </w:rPr>
        <w:t xml:space="preserve">217,126,597.31 </w:t>
      </w:r>
      <w:r w:rsidRPr="00CC710A">
        <w:rPr>
          <w:rStyle w:val="nfasis"/>
          <w:rFonts w:cs="Calibri"/>
          <w:color w:val="000000"/>
          <w:sz w:val="22"/>
        </w:rPr>
        <w:t>pesos.</w:t>
      </w:r>
    </w:p>
    <w:p w:rsidR="009E0917" w:rsidRDefault="009E0917" w:rsidP="009E0917">
      <w:pPr>
        <w:pStyle w:val="Texto"/>
        <w:spacing w:line="276" w:lineRule="auto"/>
        <w:ind w:firstLine="0"/>
        <w:rPr>
          <w:rStyle w:val="nfasis"/>
          <w:rFonts w:ascii="Calibri" w:hAnsi="Calibri" w:cs="Calibri"/>
          <w:b/>
          <w:bCs/>
          <w:color w:val="000000"/>
          <w:sz w:val="22"/>
          <w:szCs w:val="22"/>
        </w:rPr>
      </w:pPr>
    </w:p>
    <w:p w:rsidR="009E0917" w:rsidRPr="00525100" w:rsidRDefault="009E0917" w:rsidP="009E0917">
      <w:pPr>
        <w:pStyle w:val="Texto"/>
        <w:spacing w:line="276" w:lineRule="auto"/>
        <w:ind w:firstLine="0"/>
        <w:rPr>
          <w:rFonts w:ascii="Calibri" w:hAnsi="Calibri"/>
          <w:sz w:val="22"/>
          <w:szCs w:val="22"/>
        </w:rPr>
      </w:pPr>
      <w:r w:rsidRPr="00525100">
        <w:rPr>
          <w:rStyle w:val="nfasis"/>
          <w:rFonts w:ascii="Calibri" w:hAnsi="Calibri" w:cs="Calibri"/>
          <w:b/>
          <w:bCs/>
          <w:color w:val="000000"/>
          <w:sz w:val="22"/>
          <w:szCs w:val="22"/>
        </w:rPr>
        <w:t>1264.- Deterioro a</w:t>
      </w:r>
      <w:r w:rsidR="00291E7C">
        <w:rPr>
          <w:rStyle w:val="nfasis"/>
          <w:rFonts w:ascii="Calibri" w:hAnsi="Calibri" w:cs="Calibri"/>
          <w:b/>
          <w:bCs/>
          <w:color w:val="000000"/>
          <w:sz w:val="22"/>
          <w:szCs w:val="22"/>
        </w:rPr>
        <w:t>cumulado de Activos Biológicos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931027">
        <w:rPr>
          <w:rStyle w:val="nfasis"/>
          <w:rFonts w:ascii="Calibri" w:hAnsi="Calibri" w:cs="Calibri"/>
          <w:color w:val="000000"/>
          <w:sz w:val="22"/>
          <w:szCs w:val="22"/>
        </w:rPr>
        <w:t>El saldo por</w:t>
      </w:r>
      <w:r w:rsidR="00291E7C">
        <w:rPr>
          <w:rStyle w:val="nfasis"/>
          <w:rFonts w:ascii="Calibri" w:hAnsi="Calibri" w:cs="Calibri"/>
          <w:color w:val="000000"/>
          <w:sz w:val="22"/>
          <w:szCs w:val="22"/>
        </w:rPr>
        <w:t xml:space="preserve"> </w:t>
      </w:r>
      <w:r>
        <w:rPr>
          <w:rFonts w:ascii="Calibri" w:hAnsi="Calibri"/>
          <w:sz w:val="22"/>
          <w:szCs w:val="22"/>
        </w:rPr>
        <w:t>-41,650.08 pesos, r</w:t>
      </w:r>
      <w:r w:rsidRPr="00525100">
        <w:rPr>
          <w:rFonts w:ascii="Calibri" w:hAnsi="Calibri"/>
          <w:sz w:val="22"/>
          <w:szCs w:val="22"/>
        </w:rPr>
        <w:t>epresenta el monto del deterioro que se establece anualmente de acuerdo con los lineamientos que emita el CONAC, a fin de prever las pérdidas derivadas de la disminución de cantidad o calidad de activos biológicos, independientemente de su venta. Integra los montos acumulados de ejercicios fiscales anteriores.</w:t>
      </w:r>
    </w:p>
    <w:p w:rsidR="009E0917" w:rsidRDefault="009E0917" w:rsidP="009E0917">
      <w:pPr>
        <w:spacing w:line="240" w:lineRule="auto"/>
        <w:rPr>
          <w:rStyle w:val="nfasis"/>
          <w:rFonts w:cs="Calibri"/>
          <w:b/>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t>1265.- Amortización Acumulada de Activos Intangibles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Depreciación de bienes muebles, de acuerdo a los lineamientos CONAC, con saldo por</w:t>
      </w:r>
      <w:r w:rsidR="00291E7C">
        <w:rPr>
          <w:rStyle w:val="nfasis"/>
          <w:rFonts w:cs="Calibri"/>
          <w:color w:val="000000"/>
          <w:sz w:val="22"/>
        </w:rPr>
        <w:t xml:space="preserve"> </w:t>
      </w:r>
      <w:r w:rsidRPr="00823C04">
        <w:rPr>
          <w:rStyle w:val="nfasis"/>
          <w:rFonts w:cs="Calibri"/>
          <w:color w:val="000000"/>
          <w:sz w:val="22"/>
        </w:rPr>
        <w:t>-</w:t>
      </w:r>
      <w:r>
        <w:rPr>
          <w:rStyle w:val="nfasis"/>
          <w:rFonts w:cs="Calibri"/>
          <w:color w:val="000000"/>
          <w:sz w:val="22"/>
        </w:rPr>
        <w:t xml:space="preserve">316,645,101.31 </w:t>
      </w:r>
      <w:r w:rsidRPr="00CC710A">
        <w:rPr>
          <w:rStyle w:val="nfasis"/>
          <w:rFonts w:cs="Calibri"/>
          <w:color w:val="000000"/>
          <w:sz w:val="22"/>
        </w:rPr>
        <w:t>pesos, integra los montos acumulados de ejercicios fiscales anteriores.</w:t>
      </w:r>
    </w:p>
    <w:p w:rsidR="009E0917" w:rsidRPr="00CC710A" w:rsidRDefault="009E0917" w:rsidP="009E0917">
      <w:pPr>
        <w:spacing w:line="240" w:lineRule="auto"/>
        <w:rPr>
          <w:rStyle w:val="nfasis"/>
          <w:rFonts w:cs="Calibri"/>
          <w:i/>
          <w:color w:val="000000"/>
          <w:sz w:val="22"/>
        </w:rPr>
      </w:pPr>
    </w:p>
    <w:p w:rsidR="009E0917" w:rsidRDefault="009E0917" w:rsidP="009E0917">
      <w:pPr>
        <w:rPr>
          <w:rStyle w:val="nfasis"/>
          <w:rFonts w:cs="Calibri"/>
          <w:i/>
          <w:color w:val="000000"/>
          <w:sz w:val="22"/>
        </w:rPr>
      </w:pPr>
      <w:r w:rsidRPr="00CC710A">
        <w:rPr>
          <w:rStyle w:val="nfasis"/>
          <w:rFonts w:cs="Calibri"/>
          <w:b/>
          <w:color w:val="000000"/>
          <w:sz w:val="22"/>
        </w:rPr>
        <w:t>1293.- Bienes en Comodato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de esta cuenta por la cantidad de </w:t>
      </w:r>
      <w:r w:rsidRPr="00823C04">
        <w:rPr>
          <w:rStyle w:val="nfasis"/>
          <w:rFonts w:cs="Calibri"/>
          <w:color w:val="000000"/>
          <w:sz w:val="22"/>
        </w:rPr>
        <w:t>1,</w:t>
      </w:r>
      <w:r>
        <w:rPr>
          <w:rStyle w:val="nfasis"/>
          <w:rFonts w:cs="Calibri"/>
          <w:color w:val="000000"/>
          <w:sz w:val="22"/>
        </w:rPr>
        <w:t xml:space="preserve">143,487,164.33 </w:t>
      </w:r>
      <w:r w:rsidRPr="00CC710A">
        <w:rPr>
          <w:rStyle w:val="nfasis"/>
          <w:rFonts w:cs="Calibri"/>
          <w:color w:val="000000"/>
          <w:sz w:val="22"/>
        </w:rPr>
        <w:t>pesos representa el monto de los bienes propiedad del ente público otorgado en comodato.</w:t>
      </w:r>
    </w:p>
    <w:p w:rsidR="009E0917" w:rsidRDefault="009E0917" w:rsidP="009E0917">
      <w:pPr>
        <w:rPr>
          <w:rStyle w:val="nfasis"/>
          <w:rFonts w:cs="Calibri"/>
          <w:i/>
          <w:color w:val="000000"/>
          <w:sz w:val="22"/>
        </w:rPr>
      </w:pPr>
    </w:p>
    <w:p w:rsidR="009E0917" w:rsidRPr="000C7B28" w:rsidRDefault="009E0917" w:rsidP="009E0917">
      <w:pPr>
        <w:rPr>
          <w:rStyle w:val="nfasis"/>
          <w:rFonts w:cs="Calibri"/>
          <w:i/>
          <w:color w:val="000000"/>
          <w:sz w:val="22"/>
        </w:rPr>
      </w:pPr>
      <w:r w:rsidRPr="00CC710A">
        <w:rPr>
          <w:rStyle w:val="nfasis"/>
          <w:rFonts w:cs="Calibri"/>
          <w:b/>
          <w:color w:val="000000"/>
          <w:sz w:val="22"/>
        </w:rPr>
        <w:t>211.- CUENTAS POR PAGAR A CORTO P</w:t>
      </w:r>
      <w:r w:rsidR="00291E7C">
        <w:rPr>
          <w:rStyle w:val="nfasis"/>
          <w:rFonts w:cs="Calibri"/>
          <w:b/>
          <w:color w:val="000000"/>
          <w:sz w:val="22"/>
        </w:rPr>
        <w:t>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Adeudos del ente público, que deberá pagar en un plazo menor o igual a doce meses.   </w:t>
      </w:r>
    </w:p>
    <w:p w:rsidR="009E0917" w:rsidRDefault="009E0917" w:rsidP="009E0917">
      <w:pPr>
        <w:rPr>
          <w:rStyle w:val="nfasis"/>
          <w:rFonts w:cs="Calibri"/>
          <w:b/>
          <w:color w:val="000000"/>
          <w:sz w:val="22"/>
        </w:rPr>
      </w:pPr>
    </w:p>
    <w:p w:rsidR="009E0917" w:rsidRPr="00CC710A" w:rsidRDefault="009E0917" w:rsidP="009E0917">
      <w:pPr>
        <w:rPr>
          <w:rStyle w:val="nfasis"/>
          <w:rFonts w:cs="Calibri"/>
          <w:color w:val="000000"/>
          <w:sz w:val="22"/>
        </w:rPr>
      </w:pPr>
      <w:r w:rsidRPr="00CC710A">
        <w:rPr>
          <w:rStyle w:val="nfasis"/>
          <w:rFonts w:cs="Calibri"/>
          <w:b/>
          <w:color w:val="000000"/>
          <w:sz w:val="22"/>
        </w:rPr>
        <w:lastRenderedPageBreak/>
        <w:t>2111.- Servicios Personales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w:t>
      </w:r>
      <w:r>
        <w:rPr>
          <w:rStyle w:val="nfasis"/>
          <w:rFonts w:cs="Calibri"/>
          <w:color w:val="000000"/>
          <w:sz w:val="22"/>
        </w:rPr>
        <w:t xml:space="preserve">2,803,024,271.00 </w:t>
      </w:r>
      <w:r w:rsidRPr="00CC710A">
        <w:rPr>
          <w:rStyle w:val="nfasis"/>
          <w:rFonts w:cs="Calibri"/>
          <w:color w:val="000000"/>
          <w:sz w:val="22"/>
        </w:rPr>
        <w:t>pesos, considera los adeudos por las remuneraciones del personal al servicio del ente público, de carácter permanente o transitorio, que deberá pagar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Servicios Personales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Cuenta por Pagar Proceso de Nómina</w:t>
            </w:r>
          </w:p>
        </w:tc>
        <w:tc>
          <w:tcPr>
            <w:tcW w:w="2140" w:type="dxa"/>
            <w:tcBorders>
              <w:top w:val="nil"/>
              <w:left w:val="nil"/>
              <w:bottom w:val="nil"/>
              <w:right w:val="nil"/>
            </w:tcBorders>
            <w:shd w:val="clear" w:color="auto" w:fill="auto"/>
            <w:vAlign w:val="bottom"/>
            <w:hideMark/>
          </w:tcPr>
          <w:p w:rsidR="009E0917" w:rsidRPr="00947E86" w:rsidRDefault="009E0917" w:rsidP="00324C4E">
            <w:pPr>
              <w:jc w:val="right"/>
              <w:rPr>
                <w:color w:val="000000"/>
              </w:rPr>
            </w:pPr>
            <w:r w:rsidRPr="00947E86">
              <w:rPr>
                <w:color w:val="000000"/>
                <w:sz w:val="22"/>
              </w:rPr>
              <w:t>2</w:t>
            </w:r>
            <w:r w:rsidRPr="00947E86">
              <w:rPr>
                <w:sz w:val="22"/>
              </w:rPr>
              <w:t>,</w:t>
            </w:r>
            <w:r>
              <w:rPr>
                <w:sz w:val="22"/>
              </w:rPr>
              <w:t>162,382,312.97</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Alcance Liquido de Nómina de Organismos Centralizada</w:t>
            </w:r>
          </w:p>
        </w:tc>
        <w:tc>
          <w:tcPr>
            <w:tcW w:w="2140" w:type="dxa"/>
            <w:tcBorders>
              <w:top w:val="nil"/>
              <w:left w:val="nil"/>
              <w:bottom w:val="nil"/>
              <w:right w:val="nil"/>
            </w:tcBorders>
            <w:shd w:val="clear" w:color="auto" w:fill="auto"/>
            <w:hideMark/>
          </w:tcPr>
          <w:p w:rsidR="009E0917" w:rsidRPr="00947E86" w:rsidRDefault="009E0917" w:rsidP="00324C4E">
            <w:pPr>
              <w:jc w:val="right"/>
              <w:rPr>
                <w:color w:val="000000"/>
              </w:rPr>
            </w:pPr>
            <w:r>
              <w:rPr>
                <w:color w:val="000000"/>
                <w:sz w:val="22"/>
              </w:rPr>
              <w:t>640,623,878.81</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Alcance Liquido de Nomina del Personal Permanente</w:t>
            </w:r>
          </w:p>
        </w:tc>
        <w:tc>
          <w:tcPr>
            <w:tcW w:w="2140" w:type="dxa"/>
            <w:tcBorders>
              <w:top w:val="nil"/>
              <w:left w:val="nil"/>
              <w:bottom w:val="nil"/>
              <w:right w:val="nil"/>
            </w:tcBorders>
            <w:shd w:val="clear" w:color="auto" w:fill="auto"/>
            <w:hideMark/>
          </w:tcPr>
          <w:p w:rsidR="009E0917" w:rsidRPr="00947E86" w:rsidRDefault="009E0917" w:rsidP="00324C4E">
            <w:pPr>
              <w:jc w:val="right"/>
              <w:rPr>
                <w:color w:val="000000"/>
              </w:rPr>
            </w:pPr>
            <w:r>
              <w:rPr>
                <w:color w:val="000000"/>
                <w:sz w:val="22"/>
              </w:rPr>
              <w:t>10,797.22</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Alcance Líquido de Retenciones a Trabajadores del Estado.</w:t>
            </w:r>
          </w:p>
        </w:tc>
        <w:tc>
          <w:tcPr>
            <w:tcW w:w="2140" w:type="dxa"/>
            <w:tcBorders>
              <w:top w:val="nil"/>
              <w:left w:val="nil"/>
              <w:bottom w:val="nil"/>
              <w:right w:val="nil"/>
            </w:tcBorders>
            <w:shd w:val="clear" w:color="auto" w:fill="auto"/>
            <w:hideMark/>
          </w:tcPr>
          <w:p w:rsidR="009E0917" w:rsidRPr="00947E86" w:rsidRDefault="009E0917" w:rsidP="00324C4E">
            <w:pPr>
              <w:jc w:val="right"/>
              <w:rPr>
                <w:color w:val="000000"/>
              </w:rPr>
            </w:pPr>
            <w:r w:rsidRPr="00947E86">
              <w:rPr>
                <w:color w:val="000000"/>
                <w:sz w:val="22"/>
              </w:rPr>
              <w:t>7,282.00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3C46AC" w:rsidRDefault="009E0917" w:rsidP="00324C4E">
            <w:pPr>
              <w:jc w:val="right"/>
              <w:rPr>
                <w:b/>
                <w:bCs/>
                <w:color w:val="000000"/>
              </w:rPr>
            </w:pPr>
            <w:r w:rsidRPr="003C46AC">
              <w:rPr>
                <w:rStyle w:val="nfasis"/>
                <w:rFonts w:cs="Calibri"/>
                <w:b/>
                <w:sz w:val="22"/>
              </w:rPr>
              <w:t>2,803,024,271.00</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2112.- Proveedores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Adeudos con proveedores derivado de operaciones del ente público, con vencimiento de menor o igual a doce meses por </w:t>
      </w:r>
      <w:r>
        <w:rPr>
          <w:rStyle w:val="nfasis"/>
          <w:rFonts w:cs="Calibri"/>
          <w:color w:val="000000"/>
          <w:sz w:val="22"/>
        </w:rPr>
        <w:t xml:space="preserve">386,785,059.12 </w:t>
      </w:r>
      <w:r w:rsidRPr="00CC710A">
        <w:rPr>
          <w:rStyle w:val="nfasis"/>
          <w:rFonts w:cs="Calibri"/>
          <w:color w:val="000000"/>
          <w:sz w:val="22"/>
        </w:rPr>
        <w:t xml:space="preserve">pesos. </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Proveedores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Deudas por adquisición de bienes y contratación de servicios por pagar a Corto Plazo</w:t>
            </w:r>
          </w:p>
        </w:tc>
        <w:tc>
          <w:tcPr>
            <w:tcW w:w="2140" w:type="dxa"/>
            <w:tcBorders>
              <w:top w:val="nil"/>
              <w:left w:val="nil"/>
              <w:bottom w:val="nil"/>
              <w:right w:val="nil"/>
            </w:tcBorders>
            <w:shd w:val="clear" w:color="auto" w:fill="auto"/>
            <w:vAlign w:val="bottom"/>
            <w:hideMark/>
          </w:tcPr>
          <w:p w:rsidR="009E0917" w:rsidRPr="0020306F" w:rsidRDefault="009E0917" w:rsidP="00324C4E">
            <w:pPr>
              <w:jc w:val="right"/>
              <w:rPr>
                <w:color w:val="000000"/>
              </w:rPr>
            </w:pPr>
            <w:r>
              <w:rPr>
                <w:color w:val="000000"/>
                <w:sz w:val="22"/>
              </w:rPr>
              <w:t>376,138,869.41</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Deudas por adquisición de bienes e inmuebles intangibles por pagar a corto plazo</w:t>
            </w:r>
          </w:p>
        </w:tc>
        <w:tc>
          <w:tcPr>
            <w:tcW w:w="2140" w:type="dxa"/>
            <w:tcBorders>
              <w:top w:val="nil"/>
              <w:left w:val="nil"/>
              <w:bottom w:val="nil"/>
              <w:right w:val="nil"/>
            </w:tcBorders>
            <w:shd w:val="clear" w:color="auto" w:fill="auto"/>
            <w:hideMark/>
          </w:tcPr>
          <w:p w:rsidR="009E0917" w:rsidRPr="0020306F" w:rsidRDefault="009E0917" w:rsidP="00324C4E">
            <w:pPr>
              <w:jc w:val="right"/>
              <w:rPr>
                <w:color w:val="000000"/>
              </w:rPr>
            </w:pPr>
            <w:r>
              <w:rPr>
                <w:color w:val="000000"/>
                <w:sz w:val="22"/>
              </w:rPr>
              <w:t>10,646,189.71</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3C46AC" w:rsidRDefault="009E0917" w:rsidP="00324C4E">
            <w:pPr>
              <w:jc w:val="right"/>
              <w:rPr>
                <w:b/>
                <w:bCs/>
                <w:color w:val="000000"/>
              </w:rPr>
            </w:pPr>
            <w:r w:rsidRPr="003C46AC">
              <w:rPr>
                <w:rStyle w:val="nfasis"/>
                <w:rFonts w:cs="Calibri"/>
                <w:b/>
                <w:sz w:val="22"/>
              </w:rPr>
              <w:t>386,785,059.12</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2113.- Contratistas por Obras Públicas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Adeudos con contratistas por la cantidad de </w:t>
      </w:r>
      <w:r>
        <w:rPr>
          <w:rStyle w:val="nfasis"/>
          <w:rFonts w:cs="Calibri"/>
          <w:color w:val="000000"/>
          <w:sz w:val="22"/>
        </w:rPr>
        <w:t xml:space="preserve">222,788,832.74 </w:t>
      </w:r>
      <w:r w:rsidRPr="00CC710A">
        <w:rPr>
          <w:rStyle w:val="nfasis"/>
          <w:rFonts w:cs="Calibri"/>
          <w:color w:val="000000"/>
          <w:sz w:val="22"/>
        </w:rPr>
        <w:t>pesos, derivados de obras, proyectos productivos y acciones de fomento,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Contratistas por Obras Públicas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val="63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Contratistas por Obras Públicas en Bienes de Dominio Público por Pagar a Corto Plazo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rStyle w:val="nfasis"/>
                <w:rFonts w:cs="Calibri"/>
                <w:sz w:val="22"/>
              </w:rPr>
              <w:t>222,788,832.74</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3C46AC" w:rsidRDefault="009E0917" w:rsidP="00324C4E">
            <w:pPr>
              <w:jc w:val="right"/>
              <w:rPr>
                <w:b/>
                <w:bCs/>
                <w:i/>
                <w:color w:val="000000"/>
              </w:rPr>
            </w:pPr>
            <w:r w:rsidRPr="003C46AC">
              <w:rPr>
                <w:rStyle w:val="nfasis"/>
                <w:rFonts w:cs="Calibri"/>
                <w:b/>
                <w:sz w:val="22"/>
              </w:rPr>
              <w:t>222,788,832.74</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2114.- Participaciones y Aportaciones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por </w:t>
      </w:r>
      <w:r>
        <w:rPr>
          <w:rStyle w:val="nfasis"/>
          <w:rFonts w:cs="Calibri"/>
          <w:color w:val="000000"/>
          <w:sz w:val="22"/>
        </w:rPr>
        <w:t xml:space="preserve">139,300,307.65 </w:t>
      </w:r>
      <w:r w:rsidRPr="00CC710A">
        <w:rPr>
          <w:rStyle w:val="nfasis"/>
          <w:rFonts w:cs="Calibri"/>
          <w:color w:val="000000"/>
          <w:sz w:val="22"/>
        </w:rPr>
        <w:t>pesos de esta cuenta, representa los adeudos para cubrir las Participaciones y Aportaciones a Municipio</w:t>
      </w:r>
      <w:r w:rsidR="00291E7C">
        <w:rPr>
          <w:rStyle w:val="nfasis"/>
          <w:rFonts w:cs="Calibri"/>
          <w:color w:val="000000"/>
          <w:sz w:val="22"/>
        </w:rPr>
        <w:t>s.</w:t>
      </w:r>
    </w:p>
    <w:p w:rsidR="009E0917" w:rsidRPr="00576010" w:rsidRDefault="009E0917" w:rsidP="009E0917">
      <w:pPr>
        <w:rPr>
          <w:rStyle w:val="nfasis"/>
          <w:rFonts w:cs="Calibri"/>
          <w:color w:val="000000"/>
          <w:sz w:val="22"/>
        </w:rPr>
      </w:pP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lastRenderedPageBreak/>
              <w:t>Participaciones y Aportaciones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Aportación Municipal para Obra Pública   </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57,726,539.41</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Aportación de Particulares para Obra Pública</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sidRPr="00C309C4">
              <w:rPr>
                <w:color w:val="000000"/>
                <w:sz w:val="22"/>
              </w:rPr>
              <w:t>228,392.53</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Aportación para Adquisición de Armamento por Pagar a Corto Plazo-Dependencias Externas</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3,612,991.72</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Aportaciones Municipales para programa Medio Ambiente y Recursos Naturales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823C04">
              <w:rPr>
                <w:color w:val="000000"/>
                <w:sz w:val="22"/>
              </w:rPr>
              <w:t>584,284.84</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Aportaciones Municipales para el Rescate de Espacios Públicos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200,981.31</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Aportaciones Municipales programa de Desarrollo de Zonas Prioritarias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536,114.20</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Aportaciones Para Centros Educativos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69,413.34</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Reintegro de Obra Pública </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33,007,949.69</w:t>
            </w:r>
          </w:p>
        </w:tc>
      </w:tr>
      <w:tr w:rsidR="009E0917" w:rsidRPr="00204998" w:rsidTr="00324C4E">
        <w:trPr>
          <w:trHeight w:hRule="exact" w:val="56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Aportación Municipal para Programa de Agua Potable, Alcantarillado y Saneamiento</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0.01</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Aportaciones Municipales Programa Infraestructura Indígena (PROII)</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sidRPr="00C309C4">
              <w:rPr>
                <w:color w:val="000000"/>
                <w:sz w:val="22"/>
              </w:rPr>
              <w:t>105,201.16</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Aportación Municipal por Obra Municipio de Culiacán</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sidRPr="00C309C4">
              <w:rPr>
                <w:color w:val="000000"/>
                <w:sz w:val="22"/>
              </w:rPr>
              <w:t>184,013.43</w:t>
            </w:r>
          </w:p>
        </w:tc>
      </w:tr>
      <w:tr w:rsidR="009E0917" w:rsidRPr="00204998" w:rsidTr="00324C4E">
        <w:trPr>
          <w:trHeight w:hRule="exact" w:val="397"/>
          <w:jc w:val="center"/>
        </w:trPr>
        <w:tc>
          <w:tcPr>
            <w:tcW w:w="6460" w:type="dxa"/>
            <w:tcBorders>
              <w:top w:val="nil"/>
              <w:left w:val="nil"/>
              <w:bottom w:val="nil"/>
              <w:right w:val="nil"/>
            </w:tcBorders>
            <w:shd w:val="clear" w:color="auto" w:fill="auto"/>
          </w:tcPr>
          <w:p w:rsidR="009E0917" w:rsidRPr="00CC710A" w:rsidRDefault="009E0917" w:rsidP="00324C4E">
            <w:pPr>
              <w:rPr>
                <w:color w:val="000000"/>
              </w:rPr>
            </w:pPr>
            <w:r>
              <w:rPr>
                <w:color w:val="000000"/>
                <w:sz w:val="22"/>
              </w:rPr>
              <w:t>99-Proagua, Municipal Apartado (PRODI)</w:t>
            </w:r>
          </w:p>
        </w:tc>
        <w:tc>
          <w:tcPr>
            <w:tcW w:w="2140" w:type="dxa"/>
            <w:tcBorders>
              <w:top w:val="nil"/>
              <w:left w:val="nil"/>
              <w:bottom w:val="nil"/>
              <w:right w:val="nil"/>
            </w:tcBorders>
            <w:shd w:val="clear" w:color="auto" w:fill="auto"/>
          </w:tcPr>
          <w:p w:rsidR="009E0917" w:rsidRPr="00C309C4" w:rsidRDefault="009E0917" w:rsidP="00324C4E">
            <w:pPr>
              <w:jc w:val="right"/>
              <w:rPr>
                <w:color w:val="000000"/>
              </w:rPr>
            </w:pPr>
            <w:r>
              <w:rPr>
                <w:color w:val="000000"/>
                <w:sz w:val="22"/>
              </w:rPr>
              <w:t>2,892,301.01</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Participaciones y Aportaciones por pagar a Corto Plazo </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40,152,125.00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5F0C69" w:rsidRDefault="009E0917" w:rsidP="00324C4E">
            <w:pPr>
              <w:jc w:val="right"/>
              <w:rPr>
                <w:b/>
                <w:bCs/>
                <w:i/>
                <w:color w:val="000000"/>
              </w:rPr>
            </w:pPr>
            <w:r w:rsidRPr="005F0C69">
              <w:rPr>
                <w:rStyle w:val="nfasis"/>
                <w:rFonts w:cs="Calibri"/>
                <w:b/>
                <w:sz w:val="22"/>
              </w:rPr>
              <w:t>139,300,307.65</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576010" w:rsidRDefault="009E0917" w:rsidP="009E0917">
      <w:pPr>
        <w:rPr>
          <w:rStyle w:val="nfasis"/>
          <w:rFonts w:cs="Calibri"/>
          <w:color w:val="000000"/>
          <w:sz w:val="22"/>
        </w:rPr>
      </w:pPr>
      <w:r w:rsidRPr="00CC710A">
        <w:rPr>
          <w:rStyle w:val="nfasis"/>
          <w:rFonts w:cs="Calibri"/>
          <w:b/>
          <w:color w:val="000000"/>
          <w:sz w:val="22"/>
        </w:rPr>
        <w:t>2115.- Transferencias Otor</w:t>
      </w:r>
      <w:r w:rsidR="00291E7C">
        <w:rPr>
          <w:rStyle w:val="nfasis"/>
          <w:rFonts w:cs="Calibri"/>
          <w:b/>
          <w:color w:val="000000"/>
          <w:sz w:val="22"/>
        </w:rPr>
        <w:t>gadas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de esta cuenta es de </w:t>
      </w:r>
      <w:r>
        <w:rPr>
          <w:rStyle w:val="nfasis"/>
          <w:rFonts w:cs="Calibri"/>
          <w:color w:val="000000"/>
          <w:sz w:val="22"/>
        </w:rPr>
        <w:t xml:space="preserve">1,177,370,205.60 </w:t>
      </w:r>
      <w:r w:rsidRPr="00CC710A">
        <w:rPr>
          <w:rStyle w:val="nfasis"/>
          <w:rFonts w:cs="Calibri"/>
          <w:color w:val="000000"/>
          <w:sz w:val="22"/>
        </w:rPr>
        <w:t>pesos, se refiera a los adeudos en forma directa o indirecta a los sectores público, privado y externo.</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Transferencias Otorgadas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Transferencias Internas y Asignaciones al Sector Público </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1,018,832,259.17</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Transferencias al Resto del Sector Público</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16,841,141.40</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Ayudas Sociales</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9,696,805.03</w:t>
            </w:r>
          </w:p>
        </w:tc>
      </w:tr>
      <w:tr w:rsidR="009E0917" w:rsidRPr="00204998" w:rsidTr="00324C4E">
        <w:trPr>
          <w:trHeight w:hRule="exact" w:val="397"/>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Pensiones y Jubilaciones</w:t>
            </w:r>
          </w:p>
        </w:tc>
        <w:tc>
          <w:tcPr>
            <w:tcW w:w="2140" w:type="dxa"/>
            <w:tcBorders>
              <w:top w:val="nil"/>
              <w:left w:val="nil"/>
              <w:bottom w:val="nil"/>
              <w:right w:val="nil"/>
            </w:tcBorders>
            <w:shd w:val="clear" w:color="auto" w:fill="auto"/>
            <w:hideMark/>
          </w:tcPr>
          <w:p w:rsidR="009E0917" w:rsidRPr="00C309C4" w:rsidRDefault="009E0917" w:rsidP="00324C4E">
            <w:pPr>
              <w:jc w:val="right"/>
              <w:rPr>
                <w:color w:val="000000"/>
              </w:rPr>
            </w:pPr>
            <w:r>
              <w:rPr>
                <w:color w:val="000000"/>
                <w:sz w:val="22"/>
              </w:rPr>
              <w:t>132</w:t>
            </w:r>
            <w:r w:rsidRPr="00C309C4">
              <w:rPr>
                <w:color w:val="000000"/>
                <w:sz w:val="22"/>
              </w:rPr>
              <w:t>,000,000.00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A162EE" w:rsidRDefault="009E0917" w:rsidP="00324C4E">
            <w:pPr>
              <w:jc w:val="right"/>
              <w:rPr>
                <w:b/>
                <w:bCs/>
                <w:i/>
                <w:color w:val="000000"/>
              </w:rPr>
            </w:pPr>
            <w:r w:rsidRPr="00A162EE">
              <w:rPr>
                <w:rStyle w:val="nfasis"/>
                <w:rFonts w:cs="Calibri"/>
                <w:b/>
                <w:sz w:val="22"/>
              </w:rPr>
              <w:t>1,177,370,205.60</w:t>
            </w:r>
          </w:p>
        </w:tc>
      </w:tr>
    </w:tbl>
    <w:p w:rsidR="009E0917" w:rsidRDefault="009E0917" w:rsidP="009E0917">
      <w:pPr>
        <w:rPr>
          <w:rStyle w:val="nfasis"/>
          <w:rFonts w:cs="Calibri"/>
          <w:b/>
          <w:bCs/>
          <w:iCs/>
          <w:color w:val="000000"/>
          <w:sz w:val="22"/>
        </w:rPr>
      </w:pPr>
    </w:p>
    <w:p w:rsidR="009E0917" w:rsidRDefault="009E0917" w:rsidP="009E0917">
      <w:pPr>
        <w:rPr>
          <w:rStyle w:val="nfasis"/>
          <w:rFonts w:cs="Calibri"/>
          <w:b/>
          <w:color w:val="000000"/>
          <w:sz w:val="22"/>
        </w:rPr>
      </w:pPr>
    </w:p>
    <w:p w:rsidR="009E0917" w:rsidRPr="00576010" w:rsidRDefault="009E0917" w:rsidP="009E0917">
      <w:pPr>
        <w:rPr>
          <w:rStyle w:val="nfasis"/>
          <w:rFonts w:cs="Calibri"/>
          <w:b/>
          <w:bCs/>
          <w:iCs/>
          <w:color w:val="000000"/>
          <w:sz w:val="22"/>
        </w:rPr>
      </w:pPr>
      <w:r w:rsidRPr="00CC710A">
        <w:rPr>
          <w:rStyle w:val="nfasis"/>
          <w:rFonts w:cs="Calibri"/>
          <w:b/>
          <w:color w:val="000000"/>
          <w:sz w:val="22"/>
        </w:rPr>
        <w:t>2117.- Retenciones y Contribuciones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Monto de las retenciones efectuadas a contratistas y a proveedores de bienes y servicios, retenciones sobre remuneraciones </w:t>
      </w:r>
      <w:r w:rsidRPr="00CC710A">
        <w:rPr>
          <w:rStyle w:val="nfasis"/>
          <w:rFonts w:cs="Calibri"/>
          <w:color w:val="000000"/>
          <w:sz w:val="22"/>
        </w:rPr>
        <w:lastRenderedPageBreak/>
        <w:t xml:space="preserve">realizadas al personal, así como las contribuciones por pagar cuya liquidación se prevé realizar en un plazo menor o igual a doce meses, el saldo en esta cuenta es de </w:t>
      </w:r>
      <w:r>
        <w:rPr>
          <w:rStyle w:val="nfasis"/>
          <w:rFonts w:cs="Calibri"/>
          <w:color w:val="000000"/>
          <w:sz w:val="22"/>
        </w:rPr>
        <w:t xml:space="preserve">1,231,926,151.21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Retenciones y Contribuciones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Retenciones Fiscales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2,991,791.30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Descuentos a Varios Trabajadores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8,097,726.75</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Retenciones Obra Pública</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46,773,096.86</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Retenciones por Prestaciones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1094D">
              <w:rPr>
                <w:color w:val="000000"/>
                <w:sz w:val="22"/>
              </w:rPr>
              <w:t>5,608.61</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Impuesto Sobre Nomina</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1094D">
              <w:rPr>
                <w:color w:val="000000"/>
                <w:sz w:val="22"/>
              </w:rPr>
              <w:t>248,361.08</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Impuesto Sobre Nómina (Cheques Cancelados)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-288,000.97</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Cuotas del Impuesto Predial Rustico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37,759,380.90</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Otras Retenciones a Terceros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159,470,107.22</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Aportaciones Patronales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131,139,502.12</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Retenciones y Contribuciones por Pagar a Corto Plazo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845,728,577.34</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A45D4F" w:rsidRDefault="009E0917" w:rsidP="00324C4E">
            <w:pPr>
              <w:jc w:val="right"/>
              <w:rPr>
                <w:b/>
                <w:bCs/>
                <w:i/>
                <w:color w:val="000000"/>
              </w:rPr>
            </w:pPr>
            <w:r w:rsidRPr="00A45D4F">
              <w:rPr>
                <w:rStyle w:val="nfasis"/>
                <w:rFonts w:cs="Calibri"/>
                <w:b/>
                <w:sz w:val="22"/>
              </w:rPr>
              <w:t>1,231,926,151.21</w:t>
            </w:r>
          </w:p>
        </w:tc>
      </w:tr>
    </w:tbl>
    <w:p w:rsidR="009E0917" w:rsidRDefault="009E0917" w:rsidP="009E0917">
      <w:pPr>
        <w:rPr>
          <w:rStyle w:val="nfasis"/>
          <w:rFonts w:cs="Calibri"/>
          <w:color w:val="000000"/>
          <w:sz w:val="22"/>
        </w:rPr>
      </w:pPr>
    </w:p>
    <w:p w:rsidR="009E0917" w:rsidRDefault="009E0917" w:rsidP="009E0917">
      <w:pPr>
        <w:rPr>
          <w:rStyle w:val="nfasis"/>
          <w:rFonts w:cs="Calibri"/>
          <w:color w:val="000000"/>
          <w:sz w:val="22"/>
        </w:rPr>
      </w:pPr>
    </w:p>
    <w:p w:rsidR="009E0917" w:rsidRPr="0066545C" w:rsidRDefault="009E0917" w:rsidP="009E0917">
      <w:pPr>
        <w:rPr>
          <w:rStyle w:val="nfasis"/>
          <w:rFonts w:cs="Calibri"/>
          <w:color w:val="000000"/>
          <w:sz w:val="22"/>
        </w:rPr>
      </w:pPr>
      <w:r w:rsidRPr="009D3E4E">
        <w:rPr>
          <w:rStyle w:val="nfasis"/>
          <w:rFonts w:cs="Calibri"/>
          <w:b/>
          <w:color w:val="000000"/>
          <w:sz w:val="22"/>
        </w:rPr>
        <w:t>2118.- Devoluciones</w:t>
      </w:r>
      <w:r w:rsidRPr="00CC710A">
        <w:rPr>
          <w:rStyle w:val="nfasis"/>
          <w:rFonts w:cs="Calibri"/>
          <w:b/>
          <w:color w:val="000000"/>
          <w:sz w:val="22"/>
        </w:rPr>
        <w:t xml:space="preserve"> de la Ley de Ingresos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Representa el monto de las devoluciones de la Ley de Ingresos por pagar, en un plazo menor o igual a doce meses, con un saldo de </w:t>
      </w:r>
      <w:r>
        <w:rPr>
          <w:rStyle w:val="nfasis"/>
          <w:rFonts w:cs="Calibri"/>
          <w:color w:val="000000"/>
          <w:sz w:val="22"/>
        </w:rPr>
        <w:t xml:space="preserve">25,722,129.98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Devoluciones de la Ley de Ingresos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Devolución de La Ley de Ingresos Del Ejercicio en Curso</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rStyle w:val="nfasis"/>
                <w:rFonts w:cs="Calibri"/>
                <w:sz w:val="22"/>
              </w:rPr>
              <w:t>25,722,129.98</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BE1D23" w:rsidRDefault="009E0917" w:rsidP="00324C4E">
            <w:pPr>
              <w:jc w:val="right"/>
              <w:rPr>
                <w:b/>
                <w:bCs/>
                <w:color w:val="000000"/>
              </w:rPr>
            </w:pPr>
            <w:r w:rsidRPr="00BE1D23">
              <w:rPr>
                <w:rStyle w:val="nfasis"/>
                <w:rFonts w:cs="Calibri"/>
                <w:b/>
                <w:sz w:val="22"/>
              </w:rPr>
              <w:t>25,722,129.98</w:t>
            </w:r>
          </w:p>
        </w:tc>
      </w:tr>
    </w:tbl>
    <w:p w:rsidR="009E0917" w:rsidRDefault="009E0917" w:rsidP="009E0917">
      <w:pPr>
        <w:rPr>
          <w:rStyle w:val="nfasis"/>
          <w:rFonts w:cs="Calibri"/>
          <w:b/>
          <w:color w:val="000000"/>
          <w:sz w:val="22"/>
        </w:rPr>
      </w:pPr>
    </w:p>
    <w:p w:rsidR="009E0917" w:rsidRDefault="009E0917" w:rsidP="009E0917">
      <w:pPr>
        <w:rPr>
          <w:rStyle w:val="nfasis"/>
          <w:rFonts w:cs="Calibri"/>
          <w:b/>
          <w:color w:val="000000"/>
          <w:sz w:val="22"/>
        </w:rPr>
      </w:pPr>
    </w:p>
    <w:p w:rsidR="009E0917" w:rsidRPr="00576010" w:rsidRDefault="009E0917" w:rsidP="009E0917">
      <w:pPr>
        <w:rPr>
          <w:rStyle w:val="nfasis"/>
          <w:rFonts w:cs="Calibri"/>
          <w:color w:val="000000"/>
          <w:sz w:val="22"/>
        </w:rPr>
      </w:pPr>
      <w:r w:rsidRPr="00CC710A">
        <w:rPr>
          <w:rStyle w:val="nfasis"/>
          <w:rFonts w:cs="Calibri"/>
          <w:b/>
          <w:color w:val="000000"/>
          <w:sz w:val="22"/>
        </w:rPr>
        <w:t>2119.- Otras Cuentas por Pagar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de esta cuenta por </w:t>
      </w:r>
      <w:r>
        <w:rPr>
          <w:rStyle w:val="nfasis"/>
          <w:rFonts w:cs="Calibri"/>
          <w:color w:val="000000"/>
          <w:sz w:val="22"/>
        </w:rPr>
        <w:t xml:space="preserve">179,192,074.19 </w:t>
      </w:r>
      <w:r w:rsidRPr="00CC710A">
        <w:rPr>
          <w:rStyle w:val="nfasis"/>
          <w:rFonts w:cs="Calibri"/>
          <w:color w:val="000000"/>
          <w:sz w:val="22"/>
        </w:rPr>
        <w:t>pesos representa el monto de los adeudos del ente público, que deberá pagar en un plazo menor o igual a doce meses, no incl</w:t>
      </w:r>
      <w:r w:rsidR="00291E7C">
        <w:rPr>
          <w:rStyle w:val="nfasis"/>
          <w:rFonts w:cs="Calibri"/>
          <w:color w:val="000000"/>
          <w:sz w:val="22"/>
        </w:rPr>
        <w:t>uidos en las cuentas anteriores.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Otras Cuentas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Otras Cuentas por Pagar a Corto Plazo</w:t>
            </w:r>
          </w:p>
        </w:tc>
        <w:tc>
          <w:tcPr>
            <w:tcW w:w="2140" w:type="dxa"/>
            <w:tcBorders>
              <w:top w:val="nil"/>
              <w:left w:val="nil"/>
              <w:bottom w:val="nil"/>
              <w:right w:val="nil"/>
            </w:tcBorders>
            <w:shd w:val="clear" w:color="auto" w:fill="auto"/>
            <w:hideMark/>
          </w:tcPr>
          <w:p w:rsidR="009E0917" w:rsidRPr="009D3E4E" w:rsidRDefault="009E0917" w:rsidP="00324C4E">
            <w:pPr>
              <w:jc w:val="right"/>
              <w:rPr>
                <w:color w:val="000000"/>
              </w:rPr>
            </w:pPr>
            <w:r>
              <w:rPr>
                <w:rStyle w:val="nfasis"/>
                <w:rFonts w:cs="Calibri"/>
                <w:color w:val="000000"/>
                <w:sz w:val="22"/>
              </w:rPr>
              <w:t>179,192,074.19</w:t>
            </w:r>
          </w:p>
        </w:tc>
      </w:tr>
      <w:tr w:rsidR="009E0917" w:rsidRPr="00297BBB"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BE1D23" w:rsidRDefault="009E0917" w:rsidP="00324C4E">
            <w:pPr>
              <w:jc w:val="right"/>
              <w:rPr>
                <w:b/>
                <w:bCs/>
                <w:color w:val="000000"/>
              </w:rPr>
            </w:pPr>
            <w:r w:rsidRPr="00BE1D23">
              <w:rPr>
                <w:rStyle w:val="nfasis"/>
                <w:rFonts w:cs="Calibri"/>
                <w:b/>
                <w:color w:val="000000"/>
                <w:sz w:val="22"/>
              </w:rPr>
              <w:t>179,192,074.19</w:t>
            </w:r>
          </w:p>
        </w:tc>
      </w:tr>
    </w:tbl>
    <w:p w:rsidR="009E0917" w:rsidRDefault="009E0917" w:rsidP="009E0917">
      <w:pPr>
        <w:rPr>
          <w:rStyle w:val="nfasis"/>
          <w:rFonts w:cs="Calibri"/>
          <w:i/>
          <w:color w:val="000000"/>
          <w:sz w:val="22"/>
        </w:rPr>
      </w:pPr>
    </w:p>
    <w:p w:rsidR="009E0917" w:rsidRDefault="009E0917" w:rsidP="009E0917">
      <w:pPr>
        <w:rPr>
          <w:rStyle w:val="nfasis"/>
          <w:rFonts w:cs="Calibri"/>
          <w:b/>
          <w:color w:val="000000"/>
          <w:sz w:val="22"/>
        </w:rPr>
      </w:pPr>
    </w:p>
    <w:p w:rsidR="009E0917" w:rsidRPr="00CC710A" w:rsidRDefault="009E0917" w:rsidP="009E0917">
      <w:pPr>
        <w:rPr>
          <w:rStyle w:val="nfasis"/>
          <w:rFonts w:cs="Calibri"/>
          <w:b/>
          <w:i/>
          <w:color w:val="000000"/>
          <w:sz w:val="22"/>
        </w:rPr>
      </w:pPr>
      <w:r w:rsidRPr="00CC710A">
        <w:rPr>
          <w:rStyle w:val="nfasis"/>
          <w:rFonts w:cs="Calibri"/>
          <w:b/>
          <w:color w:val="000000"/>
          <w:sz w:val="22"/>
        </w:rPr>
        <w:lastRenderedPageBreak/>
        <w:t>212.- Documentos por Pagar a Corto Plazo</w:t>
      </w:r>
      <w:bookmarkStart w:id="101" w:name="_Hlk35602788"/>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Corresponde a los adeudos documentados que deberán pagarse, en un plazo menor o igual a doce meses.</w:t>
      </w:r>
      <w:bookmarkEnd w:id="101"/>
    </w:p>
    <w:p w:rsidR="009E0917" w:rsidRPr="00CC710A" w:rsidRDefault="009E0917" w:rsidP="009E0917">
      <w:pPr>
        <w:ind w:left="540" w:hanging="540"/>
        <w:rPr>
          <w:rStyle w:val="nfasis"/>
          <w:rFonts w:cs="Calibri"/>
          <w:b/>
          <w:i/>
          <w:color w:val="000000"/>
          <w:sz w:val="22"/>
        </w:rPr>
      </w:pPr>
    </w:p>
    <w:p w:rsidR="009E0917" w:rsidRPr="00576010" w:rsidRDefault="009E0917" w:rsidP="009E0917">
      <w:pPr>
        <w:rPr>
          <w:rStyle w:val="nfasis"/>
          <w:rFonts w:cs="Calibri"/>
          <w:color w:val="000000"/>
          <w:sz w:val="22"/>
        </w:rPr>
      </w:pPr>
      <w:r w:rsidRPr="00CC710A">
        <w:rPr>
          <w:rStyle w:val="nfasis"/>
          <w:rFonts w:cs="Calibri"/>
          <w:b/>
          <w:color w:val="000000"/>
          <w:sz w:val="22"/>
        </w:rPr>
        <w:t xml:space="preserve">2129.- Otros Documentos por Pagar a Corto </w:t>
      </w:r>
      <w:proofErr w:type="gramStart"/>
      <w:r w:rsidRPr="00CC710A">
        <w:rPr>
          <w:rStyle w:val="nfasis"/>
          <w:rFonts w:cs="Calibri"/>
          <w:b/>
          <w:color w:val="000000"/>
          <w:sz w:val="22"/>
        </w:rPr>
        <w:t>Plazo</w:t>
      </w:r>
      <w:r w:rsidR="00291E7C" w:rsidRPr="00CC710A">
        <w:rPr>
          <w:rStyle w:val="nfasis"/>
          <w:rFonts w:cs="Calibri"/>
          <w:b/>
          <w:color w:val="000000"/>
          <w:sz w:val="22"/>
        </w:rPr>
        <w:t>.-</w:t>
      </w:r>
      <w:proofErr w:type="gramEnd"/>
      <w:r w:rsidR="00291E7C" w:rsidRPr="00CC710A">
        <w:rPr>
          <w:rStyle w:val="nfasis"/>
          <w:rFonts w:cs="Calibri"/>
          <w:color w:val="000000"/>
          <w:sz w:val="22"/>
        </w:rPr>
        <w:t xml:space="preserve"> </w:t>
      </w:r>
      <w:r w:rsidRPr="00CC710A">
        <w:rPr>
          <w:rStyle w:val="nfasis"/>
          <w:rFonts w:cs="Calibri"/>
          <w:color w:val="000000"/>
          <w:sz w:val="22"/>
        </w:rPr>
        <w:t xml:space="preserve">Adeudos documentados con un saldo por </w:t>
      </w:r>
      <w:r w:rsidRPr="00C1094D">
        <w:rPr>
          <w:rStyle w:val="nfasis"/>
          <w:rFonts w:cs="Calibri"/>
          <w:color w:val="000000"/>
          <w:sz w:val="22"/>
        </w:rPr>
        <w:t>109,040,870.87</w:t>
      </w:r>
      <w:r w:rsidR="00604182">
        <w:rPr>
          <w:rStyle w:val="nfasis"/>
          <w:rFonts w:cs="Calibri"/>
          <w:color w:val="000000"/>
          <w:sz w:val="22"/>
        </w:rPr>
        <w:t xml:space="preserve"> </w:t>
      </w:r>
      <w:r w:rsidRPr="00CC710A">
        <w:rPr>
          <w:rStyle w:val="nfasis"/>
          <w:rFonts w:cs="Calibri"/>
          <w:color w:val="000000"/>
          <w:sz w:val="22"/>
        </w:rPr>
        <w:t>pesos a pagarse,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Otros Documentos por Pagar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Otras Autorizaciones de Pago Programadas</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106,820,537.09</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Autorizaciones de Pago de Inversión Estatal Directa</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C710A">
              <w:rPr>
                <w:color w:val="000000"/>
                <w:sz w:val="22"/>
              </w:rPr>
              <w:t>2,220,333.78</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CC710A" w:rsidRDefault="009E0917" w:rsidP="00324C4E">
            <w:pPr>
              <w:jc w:val="right"/>
              <w:rPr>
                <w:b/>
                <w:bCs/>
                <w:color w:val="000000"/>
              </w:rPr>
            </w:pPr>
            <w:r w:rsidRPr="00CC710A">
              <w:rPr>
                <w:b/>
                <w:bCs/>
                <w:color w:val="000000"/>
                <w:sz w:val="22"/>
              </w:rPr>
              <w:t>109,040,870.87</w:t>
            </w:r>
          </w:p>
        </w:tc>
      </w:tr>
    </w:tbl>
    <w:p w:rsidR="009E0917" w:rsidRDefault="009E0917" w:rsidP="009E0917">
      <w:pPr>
        <w:pStyle w:val="Texto"/>
        <w:spacing w:line="224" w:lineRule="exact"/>
        <w:ind w:firstLine="0"/>
        <w:rPr>
          <w:b/>
        </w:rPr>
      </w:pPr>
    </w:p>
    <w:p w:rsidR="009E0917" w:rsidRDefault="009E0917" w:rsidP="009E0917">
      <w:pPr>
        <w:pStyle w:val="Texto"/>
        <w:spacing w:line="276" w:lineRule="auto"/>
        <w:ind w:firstLine="0"/>
        <w:rPr>
          <w:rFonts w:ascii="Calibri" w:hAnsi="Calibri"/>
          <w:b/>
          <w:sz w:val="22"/>
          <w:szCs w:val="22"/>
        </w:rPr>
      </w:pPr>
    </w:p>
    <w:p w:rsidR="009E0917" w:rsidRPr="00076483" w:rsidRDefault="009E0917" w:rsidP="009E0917">
      <w:pPr>
        <w:pStyle w:val="Texto"/>
        <w:spacing w:line="276" w:lineRule="auto"/>
        <w:ind w:firstLine="0"/>
        <w:rPr>
          <w:rFonts w:ascii="Calibri" w:hAnsi="Calibri"/>
          <w:sz w:val="22"/>
          <w:szCs w:val="22"/>
        </w:rPr>
      </w:pPr>
      <w:r w:rsidRPr="00076483">
        <w:rPr>
          <w:rFonts w:ascii="Calibri" w:hAnsi="Calibri"/>
          <w:b/>
          <w:sz w:val="22"/>
          <w:szCs w:val="22"/>
        </w:rPr>
        <w:t xml:space="preserve">213.- Porción a Corto Plazo de </w:t>
      </w:r>
      <w:r w:rsidR="00291E7C">
        <w:rPr>
          <w:rFonts w:ascii="Calibri" w:hAnsi="Calibri"/>
          <w:b/>
          <w:sz w:val="22"/>
          <w:szCs w:val="22"/>
        </w:rPr>
        <w:t>la Deuda Pública a Largo Plazo</w:t>
      </w:r>
      <w:r w:rsidR="00291E7C" w:rsidRPr="00CC710A">
        <w:rPr>
          <w:rStyle w:val="nfasis"/>
          <w:rFonts w:cs="Calibri"/>
          <w:b/>
          <w:color w:val="000000"/>
          <w:sz w:val="22"/>
        </w:rPr>
        <w:t>.</w:t>
      </w:r>
      <w:r w:rsidR="00291E7C" w:rsidRPr="00291E7C">
        <w:rPr>
          <w:rStyle w:val="nfasis"/>
          <w:rFonts w:cs="Calibri"/>
          <w:color w:val="000000"/>
          <w:sz w:val="22"/>
        </w:rPr>
        <w:t>-</w:t>
      </w:r>
      <w:r w:rsidR="00291E7C">
        <w:rPr>
          <w:rStyle w:val="nfasis"/>
          <w:rFonts w:cs="Calibri"/>
          <w:color w:val="000000"/>
          <w:sz w:val="22"/>
        </w:rPr>
        <w:t xml:space="preserve"> </w:t>
      </w:r>
      <w:r w:rsidRPr="00076483">
        <w:rPr>
          <w:rFonts w:ascii="Calibri" w:hAnsi="Calibri"/>
          <w:sz w:val="22"/>
          <w:szCs w:val="22"/>
        </w:rPr>
        <w:t>Representa el monto de los adeudos por amortización de la deuda pública contraída por el ente público que deberá pagar en un plazo menor o igual a doce meses.</w:t>
      </w:r>
    </w:p>
    <w:p w:rsidR="009E0917" w:rsidRPr="00076483" w:rsidRDefault="009E0917" w:rsidP="009E0917">
      <w:pPr>
        <w:rPr>
          <w:rStyle w:val="nfasis"/>
          <w:rFonts w:cs="Calibri"/>
          <w:b/>
          <w:i/>
          <w:color w:val="000000"/>
          <w:sz w:val="22"/>
        </w:rPr>
      </w:pPr>
    </w:p>
    <w:p w:rsidR="009E0917" w:rsidRPr="00076483" w:rsidRDefault="009E0917" w:rsidP="009E0917">
      <w:pPr>
        <w:pStyle w:val="Texto"/>
        <w:spacing w:line="276" w:lineRule="auto"/>
        <w:ind w:firstLine="0"/>
        <w:rPr>
          <w:rFonts w:ascii="Calibri" w:hAnsi="Calibri"/>
          <w:sz w:val="22"/>
          <w:szCs w:val="22"/>
        </w:rPr>
      </w:pPr>
      <w:r w:rsidRPr="00076483">
        <w:rPr>
          <w:rFonts w:ascii="Calibri" w:hAnsi="Calibri"/>
          <w:b/>
          <w:sz w:val="22"/>
          <w:szCs w:val="22"/>
        </w:rPr>
        <w:t>2131.- Porción a Corto Pla</w:t>
      </w:r>
      <w:r w:rsidR="00291E7C">
        <w:rPr>
          <w:rFonts w:ascii="Calibri" w:hAnsi="Calibri"/>
          <w:b/>
          <w:sz w:val="22"/>
          <w:szCs w:val="22"/>
        </w:rPr>
        <w:t xml:space="preserve">zo de la Deuda Pública </w:t>
      </w:r>
      <w:proofErr w:type="gramStart"/>
      <w:r w:rsidR="00291E7C">
        <w:rPr>
          <w:rFonts w:ascii="Calibri" w:hAnsi="Calibri"/>
          <w:b/>
          <w:sz w:val="22"/>
          <w:szCs w:val="22"/>
        </w:rPr>
        <w:t>Interna</w:t>
      </w:r>
      <w:r w:rsidR="00291E7C" w:rsidRPr="00CC710A">
        <w:rPr>
          <w:rStyle w:val="nfasis"/>
          <w:rFonts w:cs="Calibri"/>
          <w:b/>
          <w:color w:val="000000"/>
          <w:sz w:val="22"/>
        </w:rPr>
        <w:t>.</w:t>
      </w:r>
      <w:r w:rsidR="00291E7C" w:rsidRPr="00291E7C">
        <w:rPr>
          <w:rStyle w:val="nfasis"/>
          <w:rFonts w:cs="Calibri"/>
          <w:color w:val="000000"/>
          <w:sz w:val="22"/>
        </w:rPr>
        <w:t>-</w:t>
      </w:r>
      <w:proofErr w:type="gramEnd"/>
      <w:r w:rsidR="00291E7C" w:rsidRPr="00291E7C">
        <w:rPr>
          <w:rStyle w:val="nfasis"/>
          <w:rFonts w:cs="Calibri"/>
          <w:color w:val="000000"/>
          <w:sz w:val="22"/>
        </w:rPr>
        <w:t xml:space="preserve"> </w:t>
      </w:r>
      <w:r w:rsidR="00291E7C">
        <w:rPr>
          <w:rStyle w:val="nfasis"/>
          <w:rFonts w:cs="Calibri"/>
          <w:color w:val="000000"/>
          <w:sz w:val="22"/>
        </w:rPr>
        <w:t>A</w:t>
      </w:r>
      <w:r w:rsidRPr="00076483">
        <w:rPr>
          <w:rFonts w:ascii="Calibri" w:hAnsi="Calibri"/>
          <w:sz w:val="22"/>
          <w:szCs w:val="22"/>
        </w:rPr>
        <w:t xml:space="preserve">deudos por amortización de la deuda pública interna, con un </w:t>
      </w:r>
      <w:r w:rsidR="00604182">
        <w:rPr>
          <w:rFonts w:ascii="Calibri" w:hAnsi="Calibri"/>
          <w:sz w:val="22"/>
          <w:szCs w:val="22"/>
        </w:rPr>
        <w:t>s</w:t>
      </w:r>
      <w:r w:rsidRPr="00076483">
        <w:rPr>
          <w:rFonts w:ascii="Calibri" w:hAnsi="Calibri"/>
          <w:sz w:val="22"/>
          <w:szCs w:val="22"/>
        </w:rPr>
        <w:t xml:space="preserve">aldo por </w:t>
      </w:r>
      <w:r>
        <w:rPr>
          <w:rFonts w:ascii="Calibri" w:hAnsi="Calibri"/>
          <w:sz w:val="22"/>
          <w:szCs w:val="22"/>
        </w:rPr>
        <w:t>49,981,941.57</w:t>
      </w:r>
      <w:r w:rsidRPr="00076483">
        <w:rPr>
          <w:rFonts w:ascii="Calibri" w:hAnsi="Calibri"/>
          <w:sz w:val="22"/>
          <w:szCs w:val="22"/>
        </w:rPr>
        <w:t xml:space="preserve"> </w:t>
      </w:r>
      <w:r w:rsidR="00604182">
        <w:rPr>
          <w:rFonts w:ascii="Calibri" w:hAnsi="Calibri"/>
          <w:sz w:val="22"/>
          <w:szCs w:val="22"/>
        </w:rPr>
        <w:t xml:space="preserve">pesos </w:t>
      </w:r>
      <w:r w:rsidRPr="00076483">
        <w:rPr>
          <w:rFonts w:ascii="Calibri" w:hAnsi="Calibri"/>
          <w:sz w:val="22"/>
          <w:szCs w:val="22"/>
        </w:rPr>
        <w:t>que deberá pagar en un plazo menor o igual a doce meses.</w:t>
      </w:r>
    </w:p>
    <w:p w:rsidR="009E0917" w:rsidRPr="00CC710A" w:rsidRDefault="009E0917" w:rsidP="009E0917">
      <w:pPr>
        <w:rPr>
          <w:rStyle w:val="nfasis"/>
          <w:rFonts w:cs="Calibri"/>
          <w:b/>
          <w:i/>
          <w:color w:val="000000"/>
          <w:sz w:val="22"/>
        </w:rPr>
      </w:pPr>
    </w:p>
    <w:p w:rsidR="009E0917" w:rsidRDefault="009E0917" w:rsidP="009E0917">
      <w:pPr>
        <w:rPr>
          <w:rStyle w:val="nfasis"/>
          <w:rFonts w:cs="Calibri"/>
          <w:b/>
          <w:i/>
          <w:color w:val="000000"/>
          <w:sz w:val="22"/>
        </w:rPr>
      </w:pPr>
      <w:r w:rsidRPr="00CC710A">
        <w:rPr>
          <w:rStyle w:val="nfasis"/>
          <w:rFonts w:cs="Calibri"/>
          <w:b/>
          <w:color w:val="000000"/>
          <w:sz w:val="22"/>
        </w:rPr>
        <w:t>216.- Fondos y Bienes de Terceros en Garantía</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Bienes propiedad de terceros, en garantía del cumplimiento de obligaciones contractuales o legales, o para su administración, eventualmente se tendrán que devolver a su titular en un plazo menor o igual a doce meses.</w:t>
      </w:r>
    </w:p>
    <w:p w:rsidR="009E0917" w:rsidRDefault="009E0917" w:rsidP="009E0917">
      <w:pPr>
        <w:rPr>
          <w:rStyle w:val="nfasis"/>
          <w:rFonts w:cs="Calibri"/>
          <w:b/>
          <w:color w:val="000000"/>
          <w:sz w:val="22"/>
        </w:rPr>
      </w:pPr>
    </w:p>
    <w:p w:rsidR="009E0917" w:rsidRPr="00576010" w:rsidRDefault="009E0917" w:rsidP="009E0917">
      <w:pPr>
        <w:rPr>
          <w:rStyle w:val="nfasis"/>
          <w:rFonts w:cs="Calibri"/>
          <w:color w:val="000000"/>
          <w:sz w:val="22"/>
        </w:rPr>
      </w:pPr>
      <w:r w:rsidRPr="00CC710A">
        <w:rPr>
          <w:rStyle w:val="nfasis"/>
          <w:rFonts w:cs="Calibri"/>
          <w:b/>
          <w:color w:val="000000"/>
          <w:sz w:val="22"/>
        </w:rPr>
        <w:t>2162.- Fondos en Administración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El saldo por </w:t>
      </w:r>
      <w:r>
        <w:rPr>
          <w:rStyle w:val="nfasis"/>
          <w:rFonts w:cs="Calibri"/>
          <w:color w:val="000000"/>
          <w:sz w:val="22"/>
        </w:rPr>
        <w:t>18,584,704.28</w:t>
      </w:r>
      <w:r w:rsidRPr="00CC710A">
        <w:rPr>
          <w:rStyle w:val="nfasis"/>
          <w:rFonts w:cs="Calibri"/>
          <w:color w:val="000000"/>
          <w:sz w:val="22"/>
        </w:rPr>
        <w:t xml:space="preserve"> pesos de esta cuenta representa los fondos de terceros, recibidos para su administración que serán devueltos a su titular, identificado </w:t>
      </w:r>
      <w:r w:rsidR="00291E7C">
        <w:rPr>
          <w:rStyle w:val="nfasis"/>
          <w:rFonts w:cs="Calibri"/>
          <w:color w:val="000000"/>
          <w:sz w:val="22"/>
        </w:rPr>
        <w:t>en los siguientes beneficiarios.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sidRPr="00CC710A">
              <w:rPr>
                <w:b/>
                <w:bCs/>
                <w:color w:val="FFFFFF"/>
                <w:sz w:val="22"/>
              </w:rPr>
              <w:t>Fondos en Administración a Corto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Fondos ZOFEMAT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Pr>
                <w:color w:val="000000"/>
                <w:sz w:val="22"/>
              </w:rPr>
              <w:t>13,584,704.28</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Fondo de Administración a Corto Plazo</w:t>
            </w:r>
          </w:p>
        </w:tc>
        <w:tc>
          <w:tcPr>
            <w:tcW w:w="2140" w:type="dxa"/>
            <w:tcBorders>
              <w:top w:val="nil"/>
              <w:left w:val="nil"/>
              <w:bottom w:val="nil"/>
              <w:right w:val="nil"/>
            </w:tcBorders>
            <w:shd w:val="clear" w:color="auto" w:fill="auto"/>
            <w:vAlign w:val="bottom"/>
            <w:hideMark/>
          </w:tcPr>
          <w:p w:rsidR="009E0917" w:rsidRPr="00CC710A" w:rsidRDefault="009E0917" w:rsidP="00324C4E">
            <w:pPr>
              <w:jc w:val="right"/>
              <w:rPr>
                <w:color w:val="000000"/>
              </w:rPr>
            </w:pPr>
            <w:r w:rsidRPr="00CC710A">
              <w:rPr>
                <w:color w:val="000000"/>
                <w:sz w:val="22"/>
              </w:rPr>
              <w:t>5,000,000.00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FF0821" w:rsidRDefault="009E0917" w:rsidP="00324C4E">
            <w:pPr>
              <w:jc w:val="right"/>
              <w:rPr>
                <w:b/>
                <w:bCs/>
                <w:color w:val="000000"/>
              </w:rPr>
            </w:pPr>
            <w:r w:rsidRPr="00FF0821">
              <w:rPr>
                <w:rStyle w:val="nfasis"/>
                <w:rFonts w:cs="Calibri"/>
                <w:b/>
                <w:sz w:val="22"/>
              </w:rPr>
              <w:t>18,584,704.28</w:t>
            </w:r>
          </w:p>
        </w:tc>
      </w:tr>
    </w:tbl>
    <w:p w:rsidR="009E0917" w:rsidRDefault="009E0917" w:rsidP="009E0917">
      <w:pPr>
        <w:rPr>
          <w:rStyle w:val="nfasis"/>
          <w:rFonts w:cs="Calibri"/>
          <w:i/>
          <w:color w:val="000000"/>
          <w:sz w:val="22"/>
        </w:rPr>
      </w:pPr>
    </w:p>
    <w:p w:rsidR="009E0917" w:rsidRDefault="009E0917" w:rsidP="009E0917">
      <w:pPr>
        <w:rPr>
          <w:rStyle w:val="nfasis"/>
          <w:rFonts w:cs="Calibri"/>
          <w:i/>
          <w:color w:val="000000"/>
          <w:sz w:val="22"/>
        </w:rPr>
      </w:pPr>
    </w:p>
    <w:p w:rsidR="009E0917" w:rsidRPr="00CC710A" w:rsidRDefault="009E0917" w:rsidP="009E0917">
      <w:pPr>
        <w:rPr>
          <w:rStyle w:val="nfasis"/>
          <w:rFonts w:cs="Calibri"/>
          <w:i/>
          <w:color w:val="000000"/>
          <w:sz w:val="22"/>
        </w:rPr>
      </w:pPr>
      <w:r w:rsidRPr="00CC710A">
        <w:rPr>
          <w:rStyle w:val="nfasis"/>
          <w:rFonts w:cs="Calibri"/>
          <w:b/>
          <w:color w:val="000000"/>
          <w:sz w:val="22"/>
        </w:rPr>
        <w:lastRenderedPageBreak/>
        <w:t>2164.- Fondos de Fideicomisos, Mandatos y Contratos Análogos a Corto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color w:val="000000"/>
          <w:sz w:val="22"/>
        </w:rPr>
        <w:t xml:space="preserve">Recursos por entregar a instituciones para su manejo de acuerdo a su fin con el que fue creado, en un plazo menor o igual a doce meses, con un saldo de </w:t>
      </w:r>
      <w:r>
        <w:rPr>
          <w:rStyle w:val="nfasis"/>
          <w:rFonts w:cs="Calibri"/>
          <w:color w:val="000000"/>
          <w:sz w:val="22"/>
        </w:rPr>
        <w:t xml:space="preserve">19,993,970.79 </w:t>
      </w:r>
      <w:r w:rsidRPr="00CC710A">
        <w:rPr>
          <w:rStyle w:val="nfasis"/>
          <w:rFonts w:cs="Calibri"/>
          <w:color w:val="000000"/>
          <w:sz w:val="22"/>
        </w:rPr>
        <w:t xml:space="preserve">pesos. </w:t>
      </w:r>
    </w:p>
    <w:p w:rsidR="009E0917" w:rsidRDefault="009E0917" w:rsidP="009E0917">
      <w:pPr>
        <w:rPr>
          <w:rStyle w:val="nfasis"/>
          <w:rFonts w:cs="Calibri"/>
          <w:b/>
          <w:color w:val="000000"/>
          <w:sz w:val="22"/>
        </w:rPr>
      </w:pPr>
    </w:p>
    <w:p w:rsidR="009E0917" w:rsidRPr="00CC710A" w:rsidRDefault="009E0917" w:rsidP="009E0917">
      <w:pPr>
        <w:rPr>
          <w:rStyle w:val="nfasis"/>
          <w:rFonts w:cs="Calibri"/>
          <w:b/>
          <w:i/>
          <w:color w:val="000000"/>
          <w:sz w:val="22"/>
        </w:rPr>
      </w:pPr>
      <w:r w:rsidRPr="00CC710A">
        <w:rPr>
          <w:rStyle w:val="nfasis"/>
          <w:rFonts w:cs="Calibri"/>
          <w:b/>
          <w:color w:val="000000"/>
          <w:sz w:val="22"/>
        </w:rPr>
        <w:t>219.-</w:t>
      </w:r>
      <w:r w:rsidR="00291E7C">
        <w:rPr>
          <w:rStyle w:val="nfasis"/>
          <w:rFonts w:cs="Calibri"/>
          <w:b/>
          <w:color w:val="000000"/>
          <w:sz w:val="22"/>
        </w:rPr>
        <w:t xml:space="preserve"> Otros Pasivos a Corto </w:t>
      </w:r>
      <w:proofErr w:type="gramStart"/>
      <w:r w:rsidR="00291E7C">
        <w:rPr>
          <w:rStyle w:val="nfasis"/>
          <w:rFonts w:cs="Calibri"/>
          <w:b/>
          <w:color w:val="000000"/>
          <w:sz w:val="22"/>
        </w:rPr>
        <w:t>Plazo</w:t>
      </w:r>
      <w:r w:rsidR="00291E7C" w:rsidRPr="00CC710A">
        <w:rPr>
          <w:rStyle w:val="nfasis"/>
          <w:rFonts w:cs="Calibri"/>
          <w:b/>
          <w:color w:val="000000"/>
          <w:sz w:val="22"/>
        </w:rPr>
        <w:t>.-</w:t>
      </w:r>
      <w:proofErr w:type="gramEnd"/>
      <w:r w:rsidR="00291E7C" w:rsidRPr="00CC710A">
        <w:rPr>
          <w:rStyle w:val="nfasis"/>
          <w:rFonts w:cs="Calibri"/>
          <w:color w:val="000000"/>
          <w:sz w:val="22"/>
        </w:rPr>
        <w:t xml:space="preserve"> </w:t>
      </w:r>
      <w:r w:rsidRPr="00CC710A">
        <w:rPr>
          <w:rStyle w:val="nfasis"/>
          <w:rFonts w:cs="Calibri"/>
          <w:color w:val="000000"/>
          <w:sz w:val="22"/>
        </w:rPr>
        <w:t>Representa el monto de los adeudos del ente público con terceros, en un plazo menor o igual a doce meses, no incluidos en los rubros anteriores.</w:t>
      </w:r>
    </w:p>
    <w:p w:rsidR="009E0917" w:rsidRPr="00CC710A" w:rsidRDefault="009E0917" w:rsidP="009E0917">
      <w:pPr>
        <w:rPr>
          <w:rStyle w:val="nfasis"/>
          <w:rFonts w:cs="Calibri"/>
          <w:b/>
          <w:i/>
          <w:color w:val="000000"/>
          <w:sz w:val="22"/>
        </w:rPr>
      </w:pPr>
    </w:p>
    <w:p w:rsidR="009E0917" w:rsidRDefault="009E0917" w:rsidP="009E0917">
      <w:pPr>
        <w:rPr>
          <w:rStyle w:val="nfasis"/>
          <w:rFonts w:cs="Calibri"/>
          <w:color w:val="000000"/>
          <w:sz w:val="22"/>
        </w:rPr>
      </w:pPr>
      <w:r w:rsidRPr="00CC710A">
        <w:rPr>
          <w:rStyle w:val="nfasis"/>
          <w:rFonts w:cs="Calibri"/>
          <w:b/>
          <w:color w:val="000000"/>
          <w:sz w:val="22"/>
        </w:rPr>
        <w:t xml:space="preserve">2191.- Ingresos por </w:t>
      </w:r>
      <w:proofErr w:type="gramStart"/>
      <w:r w:rsidRPr="00CC710A">
        <w:rPr>
          <w:rStyle w:val="nfasis"/>
          <w:rFonts w:cs="Calibri"/>
          <w:b/>
          <w:color w:val="000000"/>
          <w:sz w:val="22"/>
        </w:rPr>
        <w:t>Clasificar</w:t>
      </w:r>
      <w:r w:rsidR="00291E7C" w:rsidRPr="00CC710A">
        <w:rPr>
          <w:rStyle w:val="nfasis"/>
          <w:rFonts w:cs="Calibri"/>
          <w:b/>
          <w:color w:val="000000"/>
          <w:sz w:val="22"/>
        </w:rPr>
        <w:t>.-</w:t>
      </w:r>
      <w:proofErr w:type="gramEnd"/>
      <w:r w:rsidR="00291E7C" w:rsidRPr="00CC710A">
        <w:rPr>
          <w:rStyle w:val="nfasis"/>
          <w:rFonts w:cs="Calibri"/>
          <w:color w:val="000000"/>
          <w:sz w:val="22"/>
        </w:rPr>
        <w:t xml:space="preserve"> </w:t>
      </w:r>
      <w:r w:rsidRPr="00CC710A">
        <w:rPr>
          <w:rStyle w:val="nfasis"/>
          <w:rFonts w:cs="Calibri"/>
          <w:color w:val="000000"/>
          <w:sz w:val="22"/>
        </w:rPr>
        <w:t xml:space="preserve">El saldo de </w:t>
      </w:r>
      <w:r>
        <w:rPr>
          <w:rStyle w:val="nfasis"/>
          <w:rFonts w:cs="Calibri"/>
          <w:color w:val="000000"/>
          <w:sz w:val="22"/>
        </w:rPr>
        <w:t xml:space="preserve">42,340,799.69 </w:t>
      </w:r>
      <w:r w:rsidRPr="00CC710A">
        <w:rPr>
          <w:rStyle w:val="nfasis"/>
          <w:rFonts w:cs="Calibri"/>
          <w:color w:val="000000"/>
          <w:sz w:val="22"/>
        </w:rPr>
        <w:t>pesos, representan los recursos depositados del ente público, pendientes de clasificar según los conceptos del Clasificador por Rubro de Ingresos.</w:t>
      </w:r>
    </w:p>
    <w:p w:rsidR="009E0917" w:rsidRPr="00FC2AF5" w:rsidRDefault="009E0917" w:rsidP="009E0917">
      <w:pPr>
        <w:pStyle w:val="Texto"/>
        <w:spacing w:line="229" w:lineRule="exact"/>
        <w:ind w:firstLine="0"/>
        <w:rPr>
          <w:rFonts w:asciiTheme="minorHAnsi" w:hAnsiTheme="minorHAnsi" w:cstheme="minorHAnsi"/>
          <w:b/>
        </w:rPr>
      </w:pPr>
    </w:p>
    <w:p w:rsidR="009E0917" w:rsidRPr="00FC2AF5" w:rsidRDefault="009E0917" w:rsidP="009E0917">
      <w:pPr>
        <w:pStyle w:val="Texto"/>
        <w:spacing w:line="276" w:lineRule="auto"/>
        <w:ind w:firstLine="0"/>
        <w:rPr>
          <w:rFonts w:asciiTheme="minorHAnsi" w:hAnsiTheme="minorHAnsi" w:cstheme="minorHAnsi"/>
          <w:sz w:val="22"/>
          <w:szCs w:val="22"/>
        </w:rPr>
      </w:pPr>
      <w:r w:rsidRPr="00FC2AF5">
        <w:rPr>
          <w:rFonts w:asciiTheme="minorHAnsi" w:hAnsiTheme="minorHAnsi" w:cstheme="minorHAnsi"/>
          <w:b/>
          <w:sz w:val="22"/>
          <w:szCs w:val="22"/>
        </w:rPr>
        <w:t>219</w:t>
      </w:r>
      <w:r w:rsidR="00291E7C" w:rsidRPr="00FC2AF5">
        <w:rPr>
          <w:rFonts w:asciiTheme="minorHAnsi" w:hAnsiTheme="minorHAnsi" w:cstheme="minorHAnsi"/>
          <w:b/>
          <w:sz w:val="22"/>
          <w:szCs w:val="22"/>
        </w:rPr>
        <w:t xml:space="preserve">.- Otros Pasivos a Corto </w:t>
      </w:r>
      <w:proofErr w:type="gramStart"/>
      <w:r w:rsidR="00291E7C" w:rsidRPr="00FC2AF5">
        <w:rPr>
          <w:rFonts w:asciiTheme="minorHAnsi" w:hAnsiTheme="minorHAnsi" w:cstheme="minorHAnsi"/>
          <w:b/>
          <w:sz w:val="22"/>
          <w:szCs w:val="22"/>
        </w:rPr>
        <w:t>Plazo</w:t>
      </w:r>
      <w:r w:rsidR="00291E7C" w:rsidRPr="00FC2AF5">
        <w:rPr>
          <w:rStyle w:val="nfasis"/>
          <w:rFonts w:asciiTheme="minorHAnsi" w:hAnsiTheme="minorHAnsi" w:cstheme="minorHAnsi"/>
          <w:b/>
          <w:color w:val="000000"/>
          <w:sz w:val="22"/>
        </w:rPr>
        <w:t>.</w:t>
      </w:r>
      <w:r w:rsidR="00291E7C" w:rsidRPr="00FC2AF5">
        <w:rPr>
          <w:rStyle w:val="nfasis"/>
          <w:rFonts w:asciiTheme="minorHAnsi" w:hAnsiTheme="minorHAnsi" w:cstheme="minorHAnsi"/>
          <w:color w:val="000000"/>
          <w:sz w:val="22"/>
        </w:rPr>
        <w:t>-</w:t>
      </w:r>
      <w:proofErr w:type="gramEnd"/>
      <w:r w:rsidR="00291E7C" w:rsidRPr="00FC2AF5">
        <w:rPr>
          <w:rStyle w:val="nfasis"/>
          <w:rFonts w:asciiTheme="minorHAnsi" w:hAnsiTheme="minorHAnsi" w:cstheme="minorHAnsi"/>
          <w:color w:val="000000"/>
          <w:sz w:val="22"/>
        </w:rPr>
        <w:t xml:space="preserve"> </w:t>
      </w:r>
      <w:r w:rsidRPr="00FC2AF5">
        <w:rPr>
          <w:rFonts w:asciiTheme="minorHAnsi" w:hAnsiTheme="minorHAnsi" w:cstheme="minorHAnsi"/>
          <w:sz w:val="22"/>
          <w:szCs w:val="22"/>
        </w:rPr>
        <w:t>Representa el monto de los adeudos del ente público con terceros, en un plazo menor o igual a doce meses, no incluidos en los rubros anteriores.</w:t>
      </w:r>
    </w:p>
    <w:p w:rsidR="009E0917" w:rsidRPr="00FC2AF5" w:rsidRDefault="009E0917" w:rsidP="009E0917">
      <w:pPr>
        <w:pStyle w:val="Texto"/>
        <w:spacing w:line="276" w:lineRule="auto"/>
        <w:ind w:firstLine="0"/>
        <w:rPr>
          <w:rFonts w:asciiTheme="minorHAnsi" w:hAnsiTheme="minorHAnsi" w:cstheme="minorHAnsi"/>
          <w:sz w:val="22"/>
          <w:szCs w:val="22"/>
        </w:rPr>
      </w:pPr>
    </w:p>
    <w:p w:rsidR="009E0917" w:rsidRPr="00FC2AF5" w:rsidRDefault="009E0917" w:rsidP="009E0917">
      <w:pPr>
        <w:pStyle w:val="Texto"/>
        <w:spacing w:line="276" w:lineRule="auto"/>
        <w:ind w:firstLine="0"/>
        <w:rPr>
          <w:rStyle w:val="nfasis"/>
          <w:rFonts w:asciiTheme="minorHAnsi" w:hAnsiTheme="minorHAnsi" w:cstheme="minorHAnsi"/>
          <w:sz w:val="22"/>
          <w:szCs w:val="22"/>
        </w:rPr>
      </w:pPr>
      <w:r w:rsidRPr="00FC2AF5">
        <w:rPr>
          <w:rStyle w:val="nfasis"/>
          <w:rFonts w:asciiTheme="minorHAnsi" w:hAnsiTheme="minorHAnsi" w:cstheme="minorHAnsi"/>
          <w:b/>
          <w:color w:val="000000"/>
          <w:sz w:val="22"/>
        </w:rPr>
        <w:t xml:space="preserve">223.- Deuda Pública a Largo </w:t>
      </w:r>
      <w:proofErr w:type="gramStart"/>
      <w:r w:rsidRPr="00FC2AF5">
        <w:rPr>
          <w:rStyle w:val="nfasis"/>
          <w:rFonts w:asciiTheme="minorHAnsi" w:hAnsiTheme="minorHAnsi" w:cstheme="minorHAnsi"/>
          <w:b/>
          <w:color w:val="000000"/>
          <w:sz w:val="22"/>
        </w:rPr>
        <w:t>Plazo</w:t>
      </w:r>
      <w:r w:rsidR="00291E7C" w:rsidRPr="00FC2AF5">
        <w:rPr>
          <w:rStyle w:val="nfasis"/>
          <w:rFonts w:asciiTheme="minorHAnsi" w:hAnsiTheme="minorHAnsi" w:cstheme="minorHAnsi"/>
          <w:b/>
          <w:color w:val="000000"/>
          <w:sz w:val="22"/>
        </w:rPr>
        <w:t>.</w:t>
      </w:r>
      <w:r w:rsidR="00291E7C" w:rsidRPr="00FC2AF5">
        <w:rPr>
          <w:rStyle w:val="nfasis"/>
          <w:rFonts w:asciiTheme="minorHAnsi" w:hAnsiTheme="minorHAnsi" w:cstheme="minorHAnsi"/>
          <w:color w:val="000000"/>
          <w:sz w:val="22"/>
        </w:rPr>
        <w:t>-</w:t>
      </w:r>
      <w:proofErr w:type="gramEnd"/>
      <w:r w:rsidR="00291E7C" w:rsidRPr="00FC2AF5">
        <w:rPr>
          <w:rStyle w:val="nfasis"/>
          <w:rFonts w:asciiTheme="minorHAnsi" w:hAnsiTheme="minorHAnsi" w:cstheme="minorHAnsi"/>
          <w:color w:val="000000"/>
          <w:sz w:val="22"/>
        </w:rPr>
        <w:t xml:space="preserve"> </w:t>
      </w:r>
      <w:r w:rsidRPr="00FC2AF5">
        <w:rPr>
          <w:rStyle w:val="nfasis"/>
          <w:rFonts w:asciiTheme="minorHAnsi" w:hAnsiTheme="minorHAnsi" w:cstheme="minorHAnsi"/>
          <w:iCs/>
          <w:color w:val="000000"/>
          <w:sz w:val="22"/>
        </w:rPr>
        <w:t>Representa el monto de las obligaciones directas o contingentes, derivadas de financiamientos a cargo del ente público, en términos de las disposiciones legales aplicables.</w:t>
      </w:r>
    </w:p>
    <w:p w:rsidR="009E0917" w:rsidRPr="00CC710A" w:rsidRDefault="009E0917" w:rsidP="009E0917">
      <w:pPr>
        <w:rPr>
          <w:rStyle w:val="nfasis"/>
          <w:rFonts w:cs="Calibri"/>
          <w:i/>
          <w:color w:val="000000"/>
          <w:sz w:val="22"/>
        </w:rPr>
      </w:pPr>
    </w:p>
    <w:p w:rsidR="009E0917" w:rsidRPr="00576010" w:rsidRDefault="009E0917" w:rsidP="009E0917">
      <w:pPr>
        <w:rPr>
          <w:rStyle w:val="nfasis"/>
          <w:rFonts w:cs="Calibri"/>
          <w:iCs/>
          <w:color w:val="000000"/>
          <w:sz w:val="22"/>
        </w:rPr>
      </w:pPr>
      <w:r w:rsidRPr="00CC710A">
        <w:rPr>
          <w:rStyle w:val="nfasis"/>
          <w:rFonts w:cs="Calibri"/>
          <w:b/>
          <w:color w:val="000000"/>
          <w:sz w:val="22"/>
        </w:rPr>
        <w:t>2233.- Préstamos de la Deuda Pública Interna por pagar a Largo Plazo</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CC710A">
        <w:rPr>
          <w:rStyle w:val="nfasis"/>
          <w:rFonts w:cs="Calibri"/>
          <w:iCs/>
          <w:color w:val="000000"/>
          <w:sz w:val="22"/>
        </w:rPr>
        <w:t xml:space="preserve">Esta cuenta refleja un saldo por </w:t>
      </w:r>
      <w:r w:rsidRPr="00C1094D">
        <w:rPr>
          <w:rStyle w:val="nfasis"/>
          <w:rFonts w:cs="Calibri"/>
          <w:iCs/>
          <w:color w:val="000000"/>
          <w:sz w:val="22"/>
        </w:rPr>
        <w:t>4,049,311,973.88</w:t>
      </w:r>
      <w:r w:rsidRPr="00CC710A">
        <w:rPr>
          <w:rStyle w:val="nfasis"/>
          <w:rFonts w:cs="Calibri"/>
          <w:iCs/>
          <w:color w:val="000000"/>
          <w:sz w:val="22"/>
        </w:rPr>
        <w:t>pesos, por las obligaciones del ente público bajo el concepto de deuda pública interna, con vencimiento superior a doce meses, identificándose el pasivo a favor de las ins</w:t>
      </w:r>
      <w:r w:rsidR="00291E7C">
        <w:rPr>
          <w:rStyle w:val="nfasis"/>
          <w:rFonts w:cs="Calibri"/>
          <w:iCs/>
          <w:color w:val="000000"/>
          <w:sz w:val="22"/>
        </w:rPr>
        <w:t>tituciones bancarias siguientes.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630"/>
          <w:jc w:val="center"/>
        </w:trPr>
        <w:tc>
          <w:tcPr>
            <w:tcW w:w="6460" w:type="dxa"/>
            <w:tcBorders>
              <w:top w:val="nil"/>
              <w:left w:val="nil"/>
              <w:bottom w:val="nil"/>
              <w:right w:val="nil"/>
            </w:tcBorders>
            <w:shd w:val="clear" w:color="000000" w:fill="861D31"/>
            <w:noWrap/>
            <w:vAlign w:val="center"/>
            <w:hideMark/>
          </w:tcPr>
          <w:p w:rsidR="009E0917" w:rsidRPr="00CC710A" w:rsidRDefault="009E0917" w:rsidP="00324C4E">
            <w:pPr>
              <w:rPr>
                <w:b/>
                <w:bCs/>
                <w:color w:val="FFFFFF"/>
              </w:rPr>
            </w:pPr>
            <w:r w:rsidRPr="00CC710A">
              <w:rPr>
                <w:b/>
                <w:bCs/>
                <w:color w:val="FFFFFF"/>
                <w:sz w:val="22"/>
              </w:rPr>
              <w:t>Préstamos de la Deuda Pública Interna por pagar a Largo Plazo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Banco Mercantil del Norte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1094D">
              <w:rPr>
                <w:color w:val="000000"/>
                <w:sz w:val="22"/>
              </w:rPr>
              <w:t>2,989,944,028.67</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Banco Nacional de México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1094D">
              <w:rPr>
                <w:color w:val="000000"/>
                <w:sz w:val="22"/>
              </w:rPr>
              <w:t>432,748,531.54</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sidRPr="00CC710A">
              <w:rPr>
                <w:color w:val="000000"/>
                <w:sz w:val="22"/>
              </w:rPr>
              <w:t xml:space="preserve">Bancomer                                                      </w:t>
            </w:r>
          </w:p>
        </w:tc>
        <w:tc>
          <w:tcPr>
            <w:tcW w:w="2140" w:type="dxa"/>
            <w:tcBorders>
              <w:top w:val="nil"/>
              <w:left w:val="nil"/>
              <w:bottom w:val="nil"/>
              <w:right w:val="nil"/>
            </w:tcBorders>
            <w:shd w:val="clear" w:color="auto" w:fill="auto"/>
            <w:hideMark/>
          </w:tcPr>
          <w:p w:rsidR="009E0917" w:rsidRPr="00CC710A" w:rsidRDefault="009E0917" w:rsidP="00324C4E">
            <w:pPr>
              <w:jc w:val="right"/>
              <w:rPr>
                <w:color w:val="000000"/>
              </w:rPr>
            </w:pPr>
            <w:r w:rsidRPr="00C1094D">
              <w:rPr>
                <w:color w:val="000000"/>
                <w:sz w:val="22"/>
              </w:rPr>
              <w:t>626,619,413.67</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CC710A" w:rsidRDefault="009E0917" w:rsidP="00324C4E">
            <w:pPr>
              <w:jc w:val="right"/>
              <w:rPr>
                <w:b/>
                <w:bCs/>
                <w:color w:val="000000"/>
              </w:rPr>
            </w:pPr>
            <w:r w:rsidRPr="00C1094D">
              <w:rPr>
                <w:b/>
                <w:bCs/>
                <w:color w:val="000000"/>
                <w:sz w:val="22"/>
              </w:rPr>
              <w:t>4,049,311,973.88</w:t>
            </w:r>
          </w:p>
        </w:tc>
      </w:tr>
    </w:tbl>
    <w:p w:rsidR="009E0917" w:rsidRDefault="009E0917" w:rsidP="009E0917">
      <w:pPr>
        <w:rPr>
          <w:rStyle w:val="nfasis"/>
          <w:rFonts w:cs="Calibri"/>
          <w:i/>
          <w:color w:val="000000"/>
          <w:sz w:val="22"/>
        </w:rPr>
      </w:pPr>
    </w:p>
    <w:p w:rsidR="009E0917" w:rsidRDefault="009E0917" w:rsidP="009E0917">
      <w:pPr>
        <w:rPr>
          <w:rStyle w:val="nfasis"/>
          <w:rFonts w:asciiTheme="minorHAnsi" w:hAnsiTheme="minorHAnsi" w:cs="Calibri"/>
          <w:b/>
          <w:iCs/>
          <w:color w:val="000000"/>
          <w:sz w:val="22"/>
        </w:rPr>
      </w:pPr>
    </w:p>
    <w:p w:rsidR="009E0917" w:rsidRDefault="009E0917" w:rsidP="009E0917">
      <w:pPr>
        <w:rPr>
          <w:rStyle w:val="nfasis"/>
          <w:rFonts w:asciiTheme="minorHAnsi" w:hAnsiTheme="minorHAnsi" w:cs="Calibri"/>
          <w:b/>
          <w:iCs/>
          <w:color w:val="000000"/>
          <w:sz w:val="22"/>
        </w:rPr>
      </w:pPr>
      <w:r w:rsidRPr="00EC01DE">
        <w:rPr>
          <w:rStyle w:val="nfasis"/>
          <w:rFonts w:asciiTheme="minorHAnsi" w:hAnsiTheme="minorHAnsi" w:cs="Calibri"/>
          <w:b/>
          <w:iCs/>
          <w:color w:val="000000"/>
          <w:sz w:val="22"/>
        </w:rPr>
        <w:t>32.- Hacien</w:t>
      </w:r>
      <w:r>
        <w:rPr>
          <w:rStyle w:val="nfasis"/>
          <w:rFonts w:asciiTheme="minorHAnsi" w:hAnsiTheme="minorHAnsi" w:cs="Calibri"/>
          <w:b/>
          <w:iCs/>
          <w:color w:val="000000"/>
          <w:sz w:val="22"/>
        </w:rPr>
        <w:t>da Pública /Patrimonio Generado</w:t>
      </w:r>
    </w:p>
    <w:p w:rsidR="009E0917" w:rsidRDefault="009E0917" w:rsidP="009E0917">
      <w:pPr>
        <w:rPr>
          <w:rFonts w:asciiTheme="minorHAnsi" w:eastAsia="Times New Roman" w:hAnsiTheme="minorHAnsi" w:cs="Arial"/>
          <w:iCs/>
          <w:color w:val="000000"/>
          <w:sz w:val="22"/>
          <w:lang w:val="es-ES" w:eastAsia="es-ES"/>
        </w:rPr>
      </w:pPr>
      <w:r w:rsidRPr="00EC01DE">
        <w:rPr>
          <w:rFonts w:asciiTheme="minorHAnsi" w:eastAsia="Times New Roman" w:hAnsiTheme="minorHAnsi" w:cs="Arial"/>
          <w:b/>
          <w:bCs/>
          <w:iCs/>
          <w:color w:val="000000"/>
          <w:sz w:val="22"/>
          <w:lang w:val="es-ES" w:eastAsia="es-ES"/>
        </w:rPr>
        <w:t>3.1.2.- Donaciones de Capital. -</w:t>
      </w:r>
      <w:r>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iCs/>
          <w:color w:val="000000"/>
          <w:sz w:val="22"/>
          <w:lang w:val="es-ES" w:eastAsia="es-ES"/>
        </w:rPr>
        <w:t>epresenta los recursos aportados en efectivo o en especie, con fines permanentes de incrementar la Hacienda Pública/Patrimonio del ente público</w:t>
      </w:r>
      <w:r>
        <w:rPr>
          <w:rFonts w:asciiTheme="minorHAnsi" w:eastAsia="Times New Roman" w:hAnsiTheme="minorHAnsi" w:cs="Arial"/>
          <w:iCs/>
          <w:color w:val="000000"/>
          <w:sz w:val="22"/>
          <w:lang w:val="es-ES" w:eastAsia="es-ES"/>
        </w:rPr>
        <w:t xml:space="preserve">, con un saldo de </w:t>
      </w:r>
      <w:r w:rsidRPr="00D40AAB">
        <w:rPr>
          <w:rFonts w:asciiTheme="minorHAnsi" w:eastAsia="Times New Roman" w:hAnsiTheme="minorHAnsi" w:cs="Arial"/>
          <w:iCs/>
          <w:color w:val="000000"/>
          <w:sz w:val="22"/>
          <w:lang w:val="es-ES" w:eastAsia="es-ES"/>
        </w:rPr>
        <w:t>322</w:t>
      </w:r>
      <w:r>
        <w:rPr>
          <w:rFonts w:asciiTheme="minorHAnsi" w:eastAsia="Times New Roman" w:hAnsiTheme="minorHAnsi" w:cs="Arial"/>
          <w:iCs/>
          <w:color w:val="000000"/>
          <w:sz w:val="22"/>
          <w:lang w:val="es-ES" w:eastAsia="es-ES"/>
        </w:rPr>
        <w:t>,</w:t>
      </w:r>
      <w:r w:rsidRPr="00D40AAB">
        <w:rPr>
          <w:rFonts w:asciiTheme="minorHAnsi" w:eastAsia="Times New Roman" w:hAnsiTheme="minorHAnsi" w:cs="Arial"/>
          <w:iCs/>
          <w:color w:val="000000"/>
          <w:sz w:val="22"/>
          <w:lang w:val="es-ES" w:eastAsia="es-ES"/>
        </w:rPr>
        <w:t>076</w:t>
      </w:r>
      <w:r>
        <w:rPr>
          <w:rFonts w:asciiTheme="minorHAnsi" w:eastAsia="Times New Roman" w:hAnsiTheme="minorHAnsi" w:cs="Arial"/>
          <w:iCs/>
          <w:color w:val="000000"/>
          <w:sz w:val="22"/>
          <w:lang w:val="es-ES" w:eastAsia="es-ES"/>
        </w:rPr>
        <w:t>,</w:t>
      </w:r>
      <w:r w:rsidRPr="00D40AAB">
        <w:rPr>
          <w:rFonts w:asciiTheme="minorHAnsi" w:eastAsia="Times New Roman" w:hAnsiTheme="minorHAnsi" w:cs="Arial"/>
          <w:iCs/>
          <w:color w:val="000000"/>
          <w:sz w:val="22"/>
          <w:lang w:val="es-ES" w:eastAsia="es-ES"/>
        </w:rPr>
        <w:t>428.48</w:t>
      </w:r>
      <w:r>
        <w:rPr>
          <w:rFonts w:asciiTheme="minorHAnsi" w:eastAsia="Times New Roman" w:hAnsiTheme="minorHAnsi" w:cs="Arial"/>
          <w:iCs/>
          <w:color w:val="000000"/>
          <w:sz w:val="22"/>
          <w:lang w:val="es-ES" w:eastAsia="es-ES"/>
        </w:rPr>
        <w:t xml:space="preserve">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Pr>
                <w:b/>
                <w:bCs/>
                <w:color w:val="FFFFFF"/>
                <w:sz w:val="22"/>
              </w:rPr>
              <w:lastRenderedPageBreak/>
              <w:t>Donaciones de Capital</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Donaciones de Capital</w:t>
            </w:r>
          </w:p>
        </w:tc>
        <w:tc>
          <w:tcPr>
            <w:tcW w:w="2140" w:type="dxa"/>
            <w:tcBorders>
              <w:top w:val="nil"/>
              <w:left w:val="nil"/>
              <w:bottom w:val="nil"/>
              <w:right w:val="nil"/>
            </w:tcBorders>
            <w:shd w:val="clear" w:color="auto" w:fill="auto"/>
            <w:hideMark/>
          </w:tcPr>
          <w:p w:rsidR="009E0917" w:rsidRPr="00A907B4" w:rsidRDefault="009E0917" w:rsidP="00324C4E">
            <w:pPr>
              <w:jc w:val="right"/>
              <w:rPr>
                <w:color w:val="000000"/>
              </w:rPr>
            </w:pPr>
            <w:r w:rsidRPr="00D40AAB">
              <w:rPr>
                <w:rStyle w:val="nfasis"/>
                <w:rFonts w:cs="Calibri"/>
                <w:sz w:val="22"/>
              </w:rPr>
              <w:t>322</w:t>
            </w:r>
            <w:r>
              <w:rPr>
                <w:rStyle w:val="nfasis"/>
                <w:rFonts w:cs="Calibri"/>
                <w:sz w:val="22"/>
              </w:rPr>
              <w:t>,</w:t>
            </w:r>
            <w:r w:rsidRPr="00D40AAB">
              <w:rPr>
                <w:rStyle w:val="nfasis"/>
                <w:rFonts w:cs="Calibri"/>
                <w:sz w:val="22"/>
              </w:rPr>
              <w:t>076</w:t>
            </w:r>
            <w:r>
              <w:rPr>
                <w:rStyle w:val="nfasis"/>
                <w:rFonts w:cs="Calibri"/>
                <w:sz w:val="22"/>
              </w:rPr>
              <w:t>,</w:t>
            </w:r>
            <w:r w:rsidRPr="00D40AAB">
              <w:rPr>
                <w:rStyle w:val="nfasis"/>
                <w:rFonts w:cs="Calibri"/>
                <w:sz w:val="22"/>
              </w:rPr>
              <w:t>428.48</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A907B4" w:rsidRDefault="009E0917" w:rsidP="00324C4E">
            <w:pPr>
              <w:jc w:val="right"/>
              <w:rPr>
                <w:b/>
                <w:bCs/>
                <w:color w:val="000000"/>
              </w:rPr>
            </w:pPr>
            <w:r w:rsidRPr="00D40AAB">
              <w:rPr>
                <w:b/>
                <w:bCs/>
                <w:color w:val="000000"/>
                <w:sz w:val="22"/>
              </w:rPr>
              <w:t>322</w:t>
            </w:r>
            <w:r>
              <w:rPr>
                <w:b/>
                <w:bCs/>
                <w:color w:val="000000"/>
                <w:sz w:val="22"/>
              </w:rPr>
              <w:t>,</w:t>
            </w:r>
            <w:r w:rsidRPr="00D40AAB">
              <w:rPr>
                <w:b/>
                <w:bCs/>
                <w:color w:val="000000"/>
                <w:sz w:val="22"/>
              </w:rPr>
              <w:t>076</w:t>
            </w:r>
            <w:r>
              <w:rPr>
                <w:b/>
                <w:bCs/>
                <w:color w:val="000000"/>
                <w:sz w:val="22"/>
              </w:rPr>
              <w:t>,</w:t>
            </w:r>
            <w:r w:rsidRPr="00D40AAB">
              <w:rPr>
                <w:b/>
                <w:bCs/>
                <w:color w:val="000000"/>
                <w:sz w:val="22"/>
              </w:rPr>
              <w:t>428.48</w:t>
            </w:r>
          </w:p>
        </w:tc>
      </w:tr>
    </w:tbl>
    <w:p w:rsidR="009E0917" w:rsidRDefault="009E0917" w:rsidP="009E0917">
      <w:pPr>
        <w:rPr>
          <w:rFonts w:asciiTheme="minorHAnsi" w:eastAsia="Times New Roman" w:hAnsiTheme="minorHAnsi" w:cs="Arial"/>
          <w:b/>
          <w:bCs/>
          <w:iCs/>
          <w:color w:val="000000"/>
          <w:sz w:val="22"/>
          <w:lang w:val="es-ES" w:eastAsia="es-ES"/>
        </w:rPr>
      </w:pPr>
    </w:p>
    <w:p w:rsidR="009E0917" w:rsidRDefault="009E0917" w:rsidP="009E0917">
      <w:pPr>
        <w:rPr>
          <w:rFonts w:asciiTheme="minorHAnsi" w:eastAsia="Times New Roman" w:hAnsiTheme="minorHAnsi" w:cs="Arial"/>
          <w:b/>
          <w:bCs/>
          <w:iCs/>
          <w:color w:val="000000"/>
          <w:sz w:val="22"/>
          <w:lang w:val="es-ES" w:eastAsia="es-ES"/>
        </w:rPr>
      </w:pPr>
    </w:p>
    <w:p w:rsidR="009E0917" w:rsidRDefault="009E0917" w:rsidP="009E0917">
      <w:pPr>
        <w:rPr>
          <w:rFonts w:asciiTheme="minorHAnsi" w:eastAsia="Times New Roman" w:hAnsiTheme="minorHAnsi" w:cs="Arial"/>
          <w:bCs/>
          <w:iCs/>
          <w:color w:val="000000"/>
          <w:sz w:val="22"/>
          <w:lang w:val="es-ES" w:eastAsia="es-ES"/>
        </w:rPr>
      </w:pPr>
      <w:r w:rsidRPr="00EC01DE">
        <w:rPr>
          <w:rFonts w:asciiTheme="minorHAnsi" w:eastAsia="Times New Roman" w:hAnsiTheme="minorHAnsi" w:cs="Arial"/>
          <w:b/>
          <w:bCs/>
          <w:iCs/>
          <w:color w:val="000000"/>
          <w:sz w:val="22"/>
          <w:lang w:val="es-ES" w:eastAsia="es-ES"/>
        </w:rPr>
        <w:t>3.2.1.- Resultado del Ejercicio (Ahorro/Desahorro)</w:t>
      </w:r>
      <w:r w:rsidR="00291E7C" w:rsidRPr="00CC710A">
        <w:rPr>
          <w:rStyle w:val="nfasis"/>
          <w:rFonts w:cs="Calibri"/>
          <w:b/>
          <w:color w:val="000000"/>
          <w:sz w:val="22"/>
        </w:rPr>
        <w:t>.-</w:t>
      </w:r>
      <w:r w:rsidR="00291E7C" w:rsidRPr="00CC710A">
        <w:rPr>
          <w:rStyle w:val="nfasis"/>
          <w:rFonts w:cs="Calibri"/>
          <w:color w:val="000000"/>
          <w:sz w:val="22"/>
        </w:rPr>
        <w:t xml:space="preserve"> </w:t>
      </w:r>
      <w:r>
        <w:rPr>
          <w:rFonts w:asciiTheme="minorHAnsi" w:eastAsia="Times New Roman" w:hAnsiTheme="minorHAnsi" w:cs="Arial"/>
          <w:bCs/>
          <w:iCs/>
          <w:color w:val="000000"/>
          <w:sz w:val="22"/>
          <w:lang w:val="es-ES" w:eastAsia="es-ES"/>
        </w:rPr>
        <w:t>R</w:t>
      </w:r>
      <w:r w:rsidRPr="00EC01DE">
        <w:rPr>
          <w:rFonts w:asciiTheme="minorHAnsi" w:eastAsia="Times New Roman" w:hAnsiTheme="minorHAnsi" w:cs="Arial"/>
          <w:bCs/>
          <w:iCs/>
          <w:color w:val="000000"/>
          <w:sz w:val="22"/>
          <w:lang w:val="es-ES" w:eastAsia="es-ES"/>
        </w:rPr>
        <w:t>epresenta el resultado de la gestión del ejercicio, respecto de los ingresos y gastos corrientes</w:t>
      </w:r>
      <w:r>
        <w:rPr>
          <w:rFonts w:asciiTheme="minorHAnsi" w:eastAsia="Times New Roman" w:hAnsiTheme="minorHAnsi" w:cs="Arial"/>
          <w:bCs/>
          <w:iCs/>
          <w:color w:val="000000"/>
          <w:sz w:val="22"/>
          <w:lang w:val="es-ES" w:eastAsia="es-ES"/>
        </w:rPr>
        <w:t xml:space="preserve">, con un saldo de </w:t>
      </w:r>
      <w:r w:rsidRPr="00D40AAB">
        <w:rPr>
          <w:rFonts w:asciiTheme="minorHAnsi" w:eastAsia="Times New Roman" w:hAnsiTheme="minorHAnsi" w:cs="Arial"/>
          <w:bCs/>
          <w:iCs/>
          <w:color w:val="000000"/>
          <w:sz w:val="22"/>
          <w:lang w:val="es-ES" w:eastAsia="es-ES"/>
        </w:rPr>
        <w:t>1</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017</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787</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360.28</w:t>
      </w:r>
      <w:r>
        <w:rPr>
          <w:rFonts w:asciiTheme="minorHAnsi" w:eastAsia="Times New Roman" w:hAnsiTheme="minorHAnsi" w:cs="Arial"/>
          <w:bCs/>
          <w:iCs/>
          <w:color w:val="000000"/>
          <w:sz w:val="22"/>
          <w:lang w:val="es-ES" w:eastAsia="es-ES"/>
        </w:rPr>
        <w:t xml:space="preserve">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Pr>
                <w:b/>
                <w:bCs/>
                <w:color w:val="FFFFFF"/>
                <w:sz w:val="22"/>
              </w:rPr>
              <w:t>Resultado del Ejercicio (Ahorro/Desahorro)</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Resultado del Ejercicio (Ahorro/Desahorro)</w:t>
            </w:r>
          </w:p>
        </w:tc>
        <w:tc>
          <w:tcPr>
            <w:tcW w:w="2140" w:type="dxa"/>
            <w:tcBorders>
              <w:top w:val="nil"/>
              <w:left w:val="nil"/>
              <w:bottom w:val="nil"/>
              <w:right w:val="nil"/>
            </w:tcBorders>
            <w:shd w:val="clear" w:color="auto" w:fill="auto"/>
            <w:hideMark/>
          </w:tcPr>
          <w:p w:rsidR="009E0917" w:rsidRPr="00841C82" w:rsidRDefault="009E0917" w:rsidP="00324C4E">
            <w:pPr>
              <w:jc w:val="right"/>
              <w:rPr>
                <w:color w:val="000000"/>
              </w:rPr>
            </w:pPr>
            <w:r w:rsidRPr="00D40AAB">
              <w:rPr>
                <w:rStyle w:val="nfasis"/>
                <w:rFonts w:cs="Calibri"/>
                <w:sz w:val="22"/>
              </w:rPr>
              <w:t>1</w:t>
            </w:r>
            <w:r>
              <w:rPr>
                <w:rStyle w:val="nfasis"/>
                <w:rFonts w:cs="Calibri"/>
                <w:sz w:val="22"/>
              </w:rPr>
              <w:t>,</w:t>
            </w:r>
            <w:r w:rsidRPr="00D40AAB">
              <w:rPr>
                <w:rStyle w:val="nfasis"/>
                <w:rFonts w:cs="Calibri"/>
                <w:sz w:val="22"/>
              </w:rPr>
              <w:t>017</w:t>
            </w:r>
            <w:r>
              <w:rPr>
                <w:rStyle w:val="nfasis"/>
                <w:rFonts w:cs="Calibri"/>
                <w:sz w:val="22"/>
              </w:rPr>
              <w:t>,</w:t>
            </w:r>
            <w:r w:rsidRPr="00D40AAB">
              <w:rPr>
                <w:rStyle w:val="nfasis"/>
                <w:rFonts w:cs="Calibri"/>
                <w:sz w:val="22"/>
              </w:rPr>
              <w:t>787</w:t>
            </w:r>
            <w:r>
              <w:rPr>
                <w:rStyle w:val="nfasis"/>
                <w:rFonts w:cs="Calibri"/>
                <w:sz w:val="22"/>
              </w:rPr>
              <w:t>,</w:t>
            </w:r>
            <w:r w:rsidRPr="00D40AAB">
              <w:rPr>
                <w:rStyle w:val="nfasis"/>
                <w:rFonts w:cs="Calibri"/>
                <w:sz w:val="22"/>
              </w:rPr>
              <w:t>360.28</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41C82" w:rsidRDefault="009E0917" w:rsidP="00324C4E">
            <w:pPr>
              <w:jc w:val="right"/>
              <w:rPr>
                <w:b/>
                <w:bCs/>
                <w:color w:val="000000"/>
              </w:rPr>
            </w:pPr>
            <w:r w:rsidRPr="00D40AAB">
              <w:rPr>
                <w:rStyle w:val="nfasis"/>
                <w:rFonts w:cs="Calibri"/>
                <w:b/>
                <w:bCs/>
                <w:sz w:val="22"/>
              </w:rPr>
              <w:t>1</w:t>
            </w:r>
            <w:r>
              <w:rPr>
                <w:rStyle w:val="nfasis"/>
                <w:rFonts w:cs="Calibri"/>
                <w:b/>
                <w:bCs/>
                <w:sz w:val="22"/>
              </w:rPr>
              <w:t>,</w:t>
            </w:r>
            <w:r w:rsidRPr="00D40AAB">
              <w:rPr>
                <w:rStyle w:val="nfasis"/>
                <w:rFonts w:cs="Calibri"/>
                <w:b/>
                <w:bCs/>
                <w:sz w:val="22"/>
              </w:rPr>
              <w:t>017</w:t>
            </w:r>
            <w:r>
              <w:rPr>
                <w:rStyle w:val="nfasis"/>
                <w:rFonts w:cs="Calibri"/>
                <w:b/>
                <w:bCs/>
                <w:sz w:val="22"/>
              </w:rPr>
              <w:t>,</w:t>
            </w:r>
            <w:r w:rsidRPr="00D40AAB">
              <w:rPr>
                <w:rStyle w:val="nfasis"/>
                <w:rFonts w:cs="Calibri"/>
                <w:b/>
                <w:bCs/>
                <w:sz w:val="22"/>
              </w:rPr>
              <w:t>787</w:t>
            </w:r>
            <w:r>
              <w:rPr>
                <w:rStyle w:val="nfasis"/>
                <w:rFonts w:cs="Calibri"/>
                <w:b/>
                <w:bCs/>
                <w:sz w:val="22"/>
              </w:rPr>
              <w:t>,</w:t>
            </w:r>
            <w:r w:rsidRPr="00D40AAB">
              <w:rPr>
                <w:rStyle w:val="nfasis"/>
                <w:rFonts w:cs="Calibri"/>
                <w:b/>
                <w:bCs/>
                <w:sz w:val="22"/>
              </w:rPr>
              <w:t>360.28</w:t>
            </w:r>
          </w:p>
        </w:tc>
      </w:tr>
    </w:tbl>
    <w:p w:rsidR="009E0917" w:rsidRDefault="009E0917" w:rsidP="009E0917">
      <w:pPr>
        <w:rPr>
          <w:rFonts w:asciiTheme="minorHAnsi" w:eastAsia="Times New Roman" w:hAnsiTheme="minorHAnsi" w:cs="Arial"/>
          <w:b/>
          <w:bCs/>
          <w:iCs/>
          <w:color w:val="000000"/>
          <w:sz w:val="22"/>
          <w:lang w:val="es-ES" w:eastAsia="es-ES"/>
        </w:rPr>
      </w:pPr>
    </w:p>
    <w:p w:rsidR="009E0917" w:rsidRPr="00EC01DE" w:rsidRDefault="009E0917" w:rsidP="009E0917">
      <w:pPr>
        <w:rPr>
          <w:rFonts w:asciiTheme="minorHAnsi" w:eastAsia="Times New Roman" w:hAnsiTheme="minorHAnsi" w:cs="Arial"/>
          <w:b/>
          <w:bCs/>
          <w:iCs/>
          <w:color w:val="000000"/>
          <w:sz w:val="22"/>
          <w:lang w:val="es-ES" w:eastAsia="es-ES"/>
        </w:rPr>
      </w:pPr>
    </w:p>
    <w:p w:rsidR="009E0917" w:rsidRDefault="009E0917" w:rsidP="009E0917">
      <w:pPr>
        <w:rPr>
          <w:rFonts w:asciiTheme="minorHAnsi" w:eastAsia="Times New Roman" w:hAnsiTheme="minorHAnsi" w:cs="Arial"/>
          <w:bCs/>
          <w:iCs/>
          <w:color w:val="000000"/>
          <w:sz w:val="22"/>
          <w:lang w:val="es-ES" w:eastAsia="es-ES"/>
        </w:rPr>
      </w:pPr>
      <w:r w:rsidRPr="00EC01DE">
        <w:rPr>
          <w:rFonts w:asciiTheme="minorHAnsi" w:eastAsia="Times New Roman" w:hAnsiTheme="minorHAnsi" w:cs="Arial"/>
          <w:b/>
          <w:bCs/>
          <w:iCs/>
          <w:color w:val="000000"/>
          <w:sz w:val="22"/>
          <w:lang w:val="es-ES" w:eastAsia="es-ES"/>
        </w:rPr>
        <w:t>3.2.2.- Result</w:t>
      </w:r>
      <w:r w:rsidR="00291E7C">
        <w:rPr>
          <w:rFonts w:asciiTheme="minorHAnsi" w:eastAsia="Times New Roman" w:hAnsiTheme="minorHAnsi" w:cs="Arial"/>
          <w:b/>
          <w:bCs/>
          <w:iCs/>
          <w:color w:val="000000"/>
          <w:sz w:val="22"/>
          <w:lang w:val="es-ES" w:eastAsia="es-ES"/>
        </w:rPr>
        <w:t>ado de Ejercicios Anteriores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841C82">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bCs/>
          <w:iCs/>
          <w:color w:val="000000"/>
          <w:sz w:val="22"/>
          <w:lang w:val="es-ES" w:eastAsia="es-ES"/>
        </w:rPr>
        <w:t>epresenta el monto correspondiente del resultado de la gestión acumulada proveniente de ejercicios anteriores</w:t>
      </w:r>
      <w:r>
        <w:rPr>
          <w:rFonts w:asciiTheme="minorHAnsi" w:eastAsia="Times New Roman" w:hAnsiTheme="minorHAnsi" w:cs="Arial"/>
          <w:bCs/>
          <w:iCs/>
          <w:color w:val="000000"/>
          <w:sz w:val="22"/>
          <w:lang w:val="es-ES" w:eastAsia="es-ES"/>
        </w:rPr>
        <w:t xml:space="preserve">, con un saldo de </w:t>
      </w:r>
      <w:r w:rsidRPr="00D40AAB">
        <w:rPr>
          <w:rFonts w:asciiTheme="minorHAnsi" w:eastAsia="Times New Roman" w:hAnsiTheme="minorHAnsi" w:cs="Arial"/>
          <w:bCs/>
          <w:iCs/>
          <w:color w:val="000000"/>
          <w:sz w:val="22"/>
          <w:lang w:val="es-ES" w:eastAsia="es-ES"/>
        </w:rPr>
        <w:t>12</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445</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555</w:t>
      </w:r>
      <w:r>
        <w:rPr>
          <w:rFonts w:asciiTheme="minorHAnsi" w:eastAsia="Times New Roman" w:hAnsiTheme="minorHAnsi" w:cs="Arial"/>
          <w:bCs/>
          <w:iCs/>
          <w:color w:val="000000"/>
          <w:sz w:val="22"/>
          <w:lang w:val="es-ES" w:eastAsia="es-ES"/>
        </w:rPr>
        <w:t>,</w:t>
      </w:r>
      <w:r w:rsidRPr="00D40AAB">
        <w:rPr>
          <w:rFonts w:asciiTheme="minorHAnsi" w:eastAsia="Times New Roman" w:hAnsiTheme="minorHAnsi" w:cs="Arial"/>
          <w:bCs/>
          <w:iCs/>
          <w:color w:val="000000"/>
          <w:sz w:val="22"/>
          <w:lang w:val="es-ES" w:eastAsia="es-ES"/>
        </w:rPr>
        <w:t>159.7</w:t>
      </w:r>
      <w:r>
        <w:rPr>
          <w:rFonts w:asciiTheme="minorHAnsi" w:eastAsia="Times New Roman" w:hAnsiTheme="minorHAnsi" w:cs="Arial"/>
          <w:bCs/>
          <w:iCs/>
          <w:color w:val="000000"/>
          <w:sz w:val="22"/>
          <w:lang w:val="es-ES" w:eastAsia="es-ES"/>
        </w:rPr>
        <w:t>0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Pr>
                <w:b/>
                <w:bCs/>
                <w:color w:val="FFFFFF"/>
                <w:sz w:val="22"/>
              </w:rPr>
              <w:t>Resultado de Ejercicios Anteriores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Resultado de Ejercicios Anteriores</w:t>
            </w:r>
          </w:p>
        </w:tc>
        <w:tc>
          <w:tcPr>
            <w:tcW w:w="2140" w:type="dxa"/>
            <w:tcBorders>
              <w:top w:val="nil"/>
              <w:left w:val="nil"/>
              <w:bottom w:val="nil"/>
              <w:right w:val="nil"/>
            </w:tcBorders>
            <w:shd w:val="clear" w:color="auto" w:fill="auto"/>
            <w:hideMark/>
          </w:tcPr>
          <w:p w:rsidR="009E0917" w:rsidRPr="00841C82" w:rsidRDefault="009E0917" w:rsidP="00324C4E">
            <w:pPr>
              <w:jc w:val="right"/>
              <w:rPr>
                <w:color w:val="000000"/>
              </w:rPr>
            </w:pPr>
            <w:r w:rsidRPr="00D40AAB">
              <w:rPr>
                <w:rStyle w:val="nfasis"/>
                <w:rFonts w:cs="Calibri"/>
                <w:sz w:val="22"/>
              </w:rPr>
              <w:t>12</w:t>
            </w:r>
            <w:r>
              <w:rPr>
                <w:rStyle w:val="nfasis"/>
                <w:rFonts w:cs="Calibri"/>
                <w:sz w:val="22"/>
              </w:rPr>
              <w:t>,</w:t>
            </w:r>
            <w:r w:rsidRPr="00D40AAB">
              <w:rPr>
                <w:rStyle w:val="nfasis"/>
                <w:rFonts w:cs="Calibri"/>
                <w:sz w:val="22"/>
              </w:rPr>
              <w:t>445</w:t>
            </w:r>
            <w:r>
              <w:rPr>
                <w:rStyle w:val="nfasis"/>
                <w:rFonts w:cs="Calibri"/>
                <w:sz w:val="22"/>
              </w:rPr>
              <w:t>,</w:t>
            </w:r>
            <w:r w:rsidRPr="00D40AAB">
              <w:rPr>
                <w:rStyle w:val="nfasis"/>
                <w:rFonts w:cs="Calibri"/>
                <w:sz w:val="22"/>
              </w:rPr>
              <w:t>555</w:t>
            </w:r>
            <w:r>
              <w:rPr>
                <w:rStyle w:val="nfasis"/>
                <w:rFonts w:cs="Calibri"/>
                <w:sz w:val="22"/>
              </w:rPr>
              <w:t>,</w:t>
            </w:r>
            <w:r w:rsidRPr="00D40AAB">
              <w:rPr>
                <w:rStyle w:val="nfasis"/>
                <w:rFonts w:cs="Calibri"/>
                <w:sz w:val="22"/>
              </w:rPr>
              <w:t>159.7</w:t>
            </w:r>
            <w:r>
              <w:rPr>
                <w:rStyle w:val="nfasis"/>
                <w:rFonts w:cs="Calibri"/>
                <w:sz w:val="22"/>
              </w:rPr>
              <w:t>0</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41C82" w:rsidRDefault="009E0917" w:rsidP="00324C4E">
            <w:pPr>
              <w:jc w:val="right"/>
              <w:rPr>
                <w:b/>
                <w:bCs/>
                <w:color w:val="000000"/>
              </w:rPr>
            </w:pPr>
            <w:r w:rsidRPr="00D40AAB">
              <w:rPr>
                <w:b/>
                <w:bCs/>
                <w:color w:val="000000"/>
                <w:sz w:val="22"/>
              </w:rPr>
              <w:t>12</w:t>
            </w:r>
            <w:r>
              <w:rPr>
                <w:b/>
                <w:bCs/>
                <w:color w:val="000000"/>
                <w:sz w:val="22"/>
              </w:rPr>
              <w:t>,</w:t>
            </w:r>
            <w:r w:rsidRPr="00D40AAB">
              <w:rPr>
                <w:b/>
                <w:bCs/>
                <w:color w:val="000000"/>
                <w:sz w:val="22"/>
              </w:rPr>
              <w:t>445</w:t>
            </w:r>
            <w:r>
              <w:rPr>
                <w:b/>
                <w:bCs/>
                <w:color w:val="000000"/>
                <w:sz w:val="22"/>
              </w:rPr>
              <w:t>,</w:t>
            </w:r>
            <w:r w:rsidRPr="00D40AAB">
              <w:rPr>
                <w:b/>
                <w:bCs/>
                <w:color w:val="000000"/>
                <w:sz w:val="22"/>
              </w:rPr>
              <w:t>555</w:t>
            </w:r>
            <w:r>
              <w:rPr>
                <w:b/>
                <w:bCs/>
                <w:color w:val="000000"/>
                <w:sz w:val="22"/>
              </w:rPr>
              <w:t>,</w:t>
            </w:r>
            <w:r w:rsidRPr="00D40AAB">
              <w:rPr>
                <w:b/>
                <w:bCs/>
                <w:color w:val="000000"/>
                <w:sz w:val="22"/>
              </w:rPr>
              <w:t>159.7</w:t>
            </w:r>
            <w:r>
              <w:rPr>
                <w:b/>
                <w:bCs/>
                <w:color w:val="000000"/>
                <w:sz w:val="22"/>
              </w:rPr>
              <w:t>0</w:t>
            </w:r>
          </w:p>
        </w:tc>
      </w:tr>
    </w:tbl>
    <w:p w:rsidR="009E0917" w:rsidRDefault="009E0917" w:rsidP="009E0917">
      <w:pPr>
        <w:rPr>
          <w:rFonts w:asciiTheme="minorHAnsi" w:eastAsia="Times New Roman" w:hAnsiTheme="minorHAnsi" w:cs="Arial"/>
          <w:b/>
          <w:bCs/>
          <w:iCs/>
          <w:color w:val="000000"/>
          <w:sz w:val="22"/>
          <w:lang w:val="es-ES" w:eastAsia="es-ES"/>
        </w:rPr>
      </w:pPr>
    </w:p>
    <w:p w:rsidR="009E0917" w:rsidRPr="00EC01DE" w:rsidRDefault="009E0917" w:rsidP="009E0917">
      <w:pPr>
        <w:rPr>
          <w:rFonts w:asciiTheme="minorHAnsi" w:eastAsia="Times New Roman" w:hAnsiTheme="minorHAnsi" w:cs="Arial"/>
          <w:b/>
          <w:bCs/>
          <w:iCs/>
          <w:color w:val="000000"/>
          <w:sz w:val="22"/>
          <w:lang w:val="es-ES" w:eastAsia="es-ES"/>
        </w:rPr>
      </w:pPr>
    </w:p>
    <w:p w:rsidR="009E0917" w:rsidRDefault="009E0917" w:rsidP="009E0917">
      <w:pPr>
        <w:rPr>
          <w:rFonts w:asciiTheme="minorHAnsi" w:eastAsia="Times New Roman" w:hAnsiTheme="minorHAnsi" w:cs="Arial"/>
          <w:iCs/>
          <w:color w:val="000000"/>
          <w:sz w:val="22"/>
          <w:lang w:val="es-ES" w:eastAsia="es-ES"/>
        </w:rPr>
      </w:pPr>
      <w:r w:rsidRPr="00EC01DE">
        <w:rPr>
          <w:rFonts w:asciiTheme="minorHAnsi" w:eastAsia="Times New Roman" w:hAnsiTheme="minorHAnsi" w:cs="Arial"/>
          <w:b/>
          <w:bCs/>
          <w:iCs/>
          <w:color w:val="000000"/>
          <w:sz w:val="22"/>
          <w:lang w:val="es-ES" w:eastAsia="es-ES"/>
        </w:rPr>
        <w:t>3.2.5.- Rectificaciones de Resultados de Ejercicio</w:t>
      </w:r>
      <w:r w:rsidR="00291E7C">
        <w:rPr>
          <w:rFonts w:asciiTheme="minorHAnsi" w:eastAsia="Times New Roman" w:hAnsiTheme="minorHAnsi" w:cs="Arial"/>
          <w:b/>
          <w:bCs/>
          <w:iCs/>
          <w:color w:val="000000"/>
          <w:sz w:val="22"/>
          <w:lang w:val="es-ES" w:eastAsia="es-ES"/>
        </w:rPr>
        <w:t>s Anteriores</w:t>
      </w:r>
      <w:r w:rsidR="00291E7C" w:rsidRPr="00CC710A">
        <w:rPr>
          <w:rStyle w:val="nfasis"/>
          <w:rFonts w:cs="Calibri"/>
          <w:b/>
          <w:color w:val="000000"/>
          <w:sz w:val="22"/>
        </w:rPr>
        <w:t>.-</w:t>
      </w:r>
      <w:r w:rsidR="00291E7C" w:rsidRPr="00CC710A">
        <w:rPr>
          <w:rStyle w:val="nfasis"/>
          <w:rFonts w:cs="Calibri"/>
          <w:color w:val="000000"/>
          <w:sz w:val="22"/>
        </w:rPr>
        <w:t xml:space="preserve"> </w:t>
      </w:r>
      <w:r w:rsidRPr="00841C82">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iCs/>
          <w:color w:val="000000"/>
          <w:sz w:val="22"/>
          <w:lang w:val="es-ES" w:eastAsia="es-ES"/>
        </w:rPr>
        <w:t>epresentan la afectación por las partidas materiales de acuerdo con los lineamientos que emita el CONAC</w:t>
      </w:r>
      <w:r>
        <w:rPr>
          <w:rFonts w:asciiTheme="minorHAnsi" w:eastAsia="Times New Roman" w:hAnsiTheme="minorHAnsi" w:cs="Arial"/>
          <w:iCs/>
          <w:color w:val="000000"/>
          <w:sz w:val="22"/>
          <w:lang w:val="es-ES" w:eastAsia="es-ES"/>
        </w:rPr>
        <w:t xml:space="preserve">, con un saldo de </w:t>
      </w:r>
      <w:r w:rsidRPr="00D40AAB">
        <w:rPr>
          <w:rFonts w:asciiTheme="minorHAnsi" w:eastAsia="Times New Roman" w:hAnsiTheme="minorHAnsi" w:cs="Arial"/>
          <w:iCs/>
          <w:color w:val="000000"/>
          <w:sz w:val="22"/>
          <w:lang w:val="es-ES" w:eastAsia="es-ES"/>
        </w:rPr>
        <w:t>624</w:t>
      </w:r>
      <w:r>
        <w:rPr>
          <w:rFonts w:asciiTheme="minorHAnsi" w:eastAsia="Times New Roman" w:hAnsiTheme="minorHAnsi" w:cs="Arial"/>
          <w:iCs/>
          <w:color w:val="000000"/>
          <w:sz w:val="22"/>
          <w:lang w:val="es-ES" w:eastAsia="es-ES"/>
        </w:rPr>
        <w:t>,</w:t>
      </w:r>
      <w:r w:rsidRPr="00D40AAB">
        <w:rPr>
          <w:rFonts w:asciiTheme="minorHAnsi" w:eastAsia="Times New Roman" w:hAnsiTheme="minorHAnsi" w:cs="Arial"/>
          <w:iCs/>
          <w:color w:val="000000"/>
          <w:sz w:val="22"/>
          <w:lang w:val="es-ES" w:eastAsia="es-ES"/>
        </w:rPr>
        <w:t>937</w:t>
      </w:r>
      <w:r>
        <w:rPr>
          <w:rFonts w:asciiTheme="minorHAnsi" w:eastAsia="Times New Roman" w:hAnsiTheme="minorHAnsi" w:cs="Arial"/>
          <w:iCs/>
          <w:color w:val="000000"/>
          <w:sz w:val="22"/>
          <w:lang w:val="es-ES" w:eastAsia="es-ES"/>
        </w:rPr>
        <w:t>,</w:t>
      </w:r>
      <w:r w:rsidRPr="00D40AAB">
        <w:rPr>
          <w:rFonts w:asciiTheme="minorHAnsi" w:eastAsia="Times New Roman" w:hAnsiTheme="minorHAnsi" w:cs="Arial"/>
          <w:iCs/>
          <w:color w:val="000000"/>
          <w:sz w:val="22"/>
          <w:lang w:val="es-ES" w:eastAsia="es-ES"/>
        </w:rPr>
        <w:t>498.72</w:t>
      </w:r>
      <w:r>
        <w:rPr>
          <w:rFonts w:asciiTheme="minorHAnsi" w:eastAsia="Times New Roman" w:hAnsiTheme="minorHAnsi" w:cs="Arial"/>
          <w:iCs/>
          <w:color w:val="000000"/>
          <w:sz w:val="22"/>
          <w:lang w:val="es-ES" w:eastAsia="es-ES"/>
        </w:rPr>
        <w:t xml:space="preserve">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9E0917" w:rsidRPr="00204998" w:rsidTr="00324C4E">
        <w:trPr>
          <w:trHeight w:val="315"/>
          <w:jc w:val="center"/>
        </w:trPr>
        <w:tc>
          <w:tcPr>
            <w:tcW w:w="6460" w:type="dxa"/>
            <w:tcBorders>
              <w:top w:val="nil"/>
              <w:left w:val="nil"/>
              <w:bottom w:val="nil"/>
              <w:right w:val="nil"/>
            </w:tcBorders>
            <w:shd w:val="clear" w:color="000000" w:fill="861D31"/>
            <w:noWrap/>
            <w:vAlign w:val="bottom"/>
            <w:hideMark/>
          </w:tcPr>
          <w:p w:rsidR="009E0917" w:rsidRPr="00CC710A" w:rsidRDefault="009E0917" w:rsidP="00324C4E">
            <w:pPr>
              <w:rPr>
                <w:b/>
                <w:bCs/>
                <w:color w:val="FFFFFF"/>
              </w:rPr>
            </w:pPr>
            <w:r>
              <w:rPr>
                <w:b/>
                <w:bCs/>
                <w:color w:val="FFFFFF"/>
                <w:sz w:val="22"/>
              </w:rPr>
              <w:t>Rectificaciones de Resultados de Ejercicios Anteriores</w:t>
            </w:r>
          </w:p>
        </w:tc>
        <w:tc>
          <w:tcPr>
            <w:tcW w:w="2140" w:type="dxa"/>
            <w:tcBorders>
              <w:top w:val="nil"/>
              <w:left w:val="nil"/>
              <w:bottom w:val="nil"/>
              <w:right w:val="nil"/>
            </w:tcBorders>
            <w:shd w:val="clear" w:color="000000" w:fill="861D31"/>
            <w:vAlign w:val="center"/>
            <w:hideMark/>
          </w:tcPr>
          <w:p w:rsidR="009E0917" w:rsidRPr="00CC710A" w:rsidRDefault="009E0917" w:rsidP="00324C4E">
            <w:pPr>
              <w:jc w:val="center"/>
              <w:rPr>
                <w:color w:val="FFFFFF"/>
              </w:rPr>
            </w:pPr>
            <w:r w:rsidRPr="00CC710A">
              <w:rPr>
                <w:color w:val="FFFFFF"/>
                <w:sz w:val="22"/>
              </w:rPr>
              <w:t>Monto (Pesos)</w:t>
            </w:r>
          </w:p>
        </w:tc>
      </w:tr>
      <w:tr w:rsidR="009E0917" w:rsidRPr="00204998" w:rsidTr="00324C4E">
        <w:trPr>
          <w:trHeight w:hRule="exact" w:val="340"/>
          <w:jc w:val="center"/>
        </w:trPr>
        <w:tc>
          <w:tcPr>
            <w:tcW w:w="6460" w:type="dxa"/>
            <w:tcBorders>
              <w:top w:val="nil"/>
              <w:left w:val="nil"/>
              <w:bottom w:val="nil"/>
              <w:right w:val="nil"/>
            </w:tcBorders>
            <w:shd w:val="clear" w:color="auto" w:fill="auto"/>
            <w:hideMark/>
          </w:tcPr>
          <w:p w:rsidR="009E0917" w:rsidRPr="00CC710A" w:rsidRDefault="009E0917" w:rsidP="00324C4E">
            <w:pPr>
              <w:rPr>
                <w:color w:val="000000"/>
              </w:rPr>
            </w:pPr>
            <w:r>
              <w:rPr>
                <w:color w:val="000000"/>
                <w:sz w:val="22"/>
              </w:rPr>
              <w:t>Rectificaciones de Resultados de Ejercicios Anteriores</w:t>
            </w:r>
          </w:p>
        </w:tc>
        <w:tc>
          <w:tcPr>
            <w:tcW w:w="2140" w:type="dxa"/>
            <w:tcBorders>
              <w:top w:val="nil"/>
              <w:left w:val="nil"/>
              <w:bottom w:val="nil"/>
              <w:right w:val="nil"/>
            </w:tcBorders>
            <w:shd w:val="clear" w:color="auto" w:fill="auto"/>
            <w:hideMark/>
          </w:tcPr>
          <w:p w:rsidR="009E0917" w:rsidRPr="00812394" w:rsidRDefault="009E0917" w:rsidP="00324C4E">
            <w:pPr>
              <w:jc w:val="right"/>
              <w:rPr>
                <w:color w:val="000000"/>
              </w:rPr>
            </w:pPr>
            <w:r w:rsidRPr="001B657C">
              <w:rPr>
                <w:rStyle w:val="nfasis"/>
                <w:rFonts w:cs="Calibri"/>
                <w:sz w:val="22"/>
              </w:rPr>
              <w:t>624</w:t>
            </w:r>
            <w:r>
              <w:rPr>
                <w:rStyle w:val="nfasis"/>
                <w:rFonts w:cs="Calibri"/>
                <w:sz w:val="22"/>
              </w:rPr>
              <w:t>,</w:t>
            </w:r>
            <w:r w:rsidRPr="001B657C">
              <w:rPr>
                <w:rStyle w:val="nfasis"/>
                <w:rFonts w:cs="Calibri"/>
                <w:sz w:val="22"/>
              </w:rPr>
              <w:t>937</w:t>
            </w:r>
            <w:r>
              <w:rPr>
                <w:rStyle w:val="nfasis"/>
                <w:rFonts w:cs="Calibri"/>
                <w:sz w:val="22"/>
              </w:rPr>
              <w:t>,</w:t>
            </w:r>
            <w:r w:rsidRPr="001B657C">
              <w:rPr>
                <w:rStyle w:val="nfasis"/>
                <w:rFonts w:cs="Calibri"/>
                <w:sz w:val="22"/>
              </w:rPr>
              <w:t>498.72</w:t>
            </w:r>
          </w:p>
        </w:tc>
      </w:tr>
      <w:tr w:rsidR="009E0917" w:rsidRPr="00204998" w:rsidTr="00324C4E">
        <w:trPr>
          <w:trHeight w:val="315"/>
          <w:jc w:val="center"/>
        </w:trPr>
        <w:tc>
          <w:tcPr>
            <w:tcW w:w="6460" w:type="dxa"/>
            <w:tcBorders>
              <w:top w:val="nil"/>
              <w:left w:val="nil"/>
              <w:bottom w:val="nil"/>
              <w:right w:val="nil"/>
            </w:tcBorders>
            <w:shd w:val="clear" w:color="000000" w:fill="BFBFBF"/>
            <w:vAlign w:val="bottom"/>
            <w:hideMark/>
          </w:tcPr>
          <w:p w:rsidR="009E0917" w:rsidRPr="00CC710A" w:rsidRDefault="009E0917" w:rsidP="00324C4E">
            <w:pPr>
              <w:ind w:firstLineChars="300" w:firstLine="660"/>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9E0917" w:rsidRPr="00812394" w:rsidRDefault="009E0917" w:rsidP="00324C4E">
            <w:pPr>
              <w:jc w:val="right"/>
              <w:rPr>
                <w:b/>
                <w:bCs/>
                <w:color w:val="000000"/>
              </w:rPr>
            </w:pPr>
            <w:r w:rsidRPr="001B657C">
              <w:rPr>
                <w:b/>
                <w:bCs/>
                <w:color w:val="000000"/>
                <w:sz w:val="22"/>
              </w:rPr>
              <w:t>624</w:t>
            </w:r>
            <w:r>
              <w:rPr>
                <w:b/>
                <w:bCs/>
                <w:color w:val="000000"/>
                <w:sz w:val="22"/>
              </w:rPr>
              <w:t>,</w:t>
            </w:r>
            <w:r w:rsidRPr="001B657C">
              <w:rPr>
                <w:b/>
                <w:bCs/>
                <w:color w:val="000000"/>
                <w:sz w:val="22"/>
              </w:rPr>
              <w:t>937</w:t>
            </w:r>
            <w:r>
              <w:rPr>
                <w:b/>
                <w:bCs/>
                <w:color w:val="000000"/>
                <w:sz w:val="22"/>
              </w:rPr>
              <w:t>,</w:t>
            </w:r>
            <w:r w:rsidRPr="001B657C">
              <w:rPr>
                <w:b/>
                <w:bCs/>
                <w:color w:val="000000"/>
                <w:sz w:val="22"/>
              </w:rPr>
              <w:t>498.72</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9E0917" w:rsidRPr="005F18CC" w:rsidTr="00324C4E">
        <w:tc>
          <w:tcPr>
            <w:tcW w:w="8978" w:type="dxa"/>
          </w:tcPr>
          <w:p w:rsidR="009E0917" w:rsidRPr="005F18CC" w:rsidRDefault="009E0917" w:rsidP="00324C4E">
            <w:pPr>
              <w:rPr>
                <w:rFonts w:asciiTheme="minorHAnsi" w:hAnsiTheme="minorHAnsi" w:cstheme="minorHAnsi"/>
                <w:b/>
                <w:sz w:val="20"/>
              </w:rPr>
            </w:pPr>
          </w:p>
        </w:tc>
      </w:tr>
    </w:tbl>
    <w:p w:rsidR="009E0917" w:rsidRPr="005F18CC" w:rsidRDefault="009E0917" w:rsidP="009E0917">
      <w:pPr>
        <w:rPr>
          <w:rFonts w:asciiTheme="minorHAnsi" w:hAnsiTheme="minorHAnsi" w:cstheme="minorHAnsi"/>
          <w:b/>
        </w:rPr>
      </w:pPr>
    </w:p>
    <w:p w:rsidR="009E0917" w:rsidRPr="00FC0F0C" w:rsidRDefault="009E0917" w:rsidP="009E0917"/>
    <w:p w:rsidR="000C1777" w:rsidRDefault="000C1777">
      <w:pPr>
        <w:spacing w:after="0" w:line="240" w:lineRule="auto"/>
        <w:jc w:val="left"/>
        <w:rPr>
          <w:rFonts w:asciiTheme="minorHAnsi" w:eastAsia="Times New Roman" w:hAnsiTheme="minorHAnsi" w:cstheme="minorHAnsi"/>
          <w:b/>
          <w:bCs/>
          <w:color w:val="262626"/>
          <w:szCs w:val="24"/>
        </w:rPr>
      </w:pPr>
      <w:r>
        <w:rPr>
          <w:rFonts w:asciiTheme="minorHAnsi" w:hAnsiTheme="minorHAnsi" w:cstheme="minorHAnsi"/>
          <w:szCs w:val="24"/>
        </w:rPr>
        <w:br w:type="page"/>
      </w:r>
    </w:p>
    <w:p w:rsidR="0058004C" w:rsidRDefault="0058004C" w:rsidP="00A3040D">
      <w:pPr>
        <w:pStyle w:val="Ttulo3"/>
        <w:ind w:left="426" w:hanging="426"/>
        <w:rPr>
          <w:rFonts w:asciiTheme="minorHAnsi" w:hAnsiTheme="minorHAnsi" w:cstheme="minorHAnsi"/>
          <w:szCs w:val="24"/>
        </w:rPr>
      </w:pPr>
    </w:p>
    <w:p w:rsidR="0058004C" w:rsidRDefault="0058004C" w:rsidP="00A3040D">
      <w:pPr>
        <w:pStyle w:val="Ttulo3"/>
        <w:ind w:left="426" w:hanging="426"/>
        <w:rPr>
          <w:rFonts w:asciiTheme="minorHAnsi" w:hAnsiTheme="minorHAnsi" w:cstheme="minorHAnsi"/>
          <w:szCs w:val="24"/>
        </w:rPr>
      </w:pPr>
    </w:p>
    <w:p w:rsidR="0058004C" w:rsidRDefault="0058004C" w:rsidP="00A3040D">
      <w:pPr>
        <w:pStyle w:val="Ttulo3"/>
        <w:ind w:left="426" w:hanging="426"/>
        <w:rPr>
          <w:rFonts w:asciiTheme="minorHAnsi" w:hAnsiTheme="minorHAnsi" w:cstheme="minorHAnsi"/>
          <w:szCs w:val="24"/>
        </w:rPr>
      </w:pPr>
    </w:p>
    <w:p w:rsidR="00746635" w:rsidRDefault="0058004C" w:rsidP="00A3040D">
      <w:pPr>
        <w:pStyle w:val="Ttulo3"/>
        <w:ind w:left="426" w:hanging="426"/>
        <w:rPr>
          <w:rFonts w:asciiTheme="minorHAnsi" w:hAnsiTheme="minorHAnsi" w:cstheme="minorHAnsi"/>
          <w:szCs w:val="24"/>
        </w:rPr>
      </w:pPr>
      <w:r>
        <w:rPr>
          <w:rFonts w:asciiTheme="minorHAnsi" w:hAnsiTheme="minorHAnsi" w:cstheme="minorHAnsi"/>
          <w:b w:val="0"/>
          <w:noProof/>
          <w:lang w:eastAsia="es-MX"/>
        </w:rPr>
        <w:drawing>
          <wp:anchor distT="0" distB="0" distL="114300" distR="114300" simplePos="0" relativeHeight="251663360" behindDoc="0" locked="0" layoutInCell="1" allowOverlap="1" wp14:anchorId="4D5BCC30" wp14:editId="55B53CEE">
            <wp:simplePos x="0" y="0"/>
            <wp:positionH relativeFrom="column">
              <wp:posOffset>-156210</wp:posOffset>
            </wp:positionH>
            <wp:positionV relativeFrom="paragraph">
              <wp:posOffset>216535</wp:posOffset>
            </wp:positionV>
            <wp:extent cx="6485839" cy="65544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mas.jpg"/>
                    <pic:cNvPicPr/>
                  </pic:nvPicPr>
                  <pic:blipFill>
                    <a:blip r:embed="rId43">
                      <a:extLst>
                        <a:ext uri="{28A0092B-C50C-407E-A947-70E740481C1C}">
                          <a14:useLocalDpi xmlns:a14="http://schemas.microsoft.com/office/drawing/2010/main" val="0"/>
                        </a:ext>
                      </a:extLst>
                    </a:blip>
                    <a:stretch>
                      <a:fillRect/>
                    </a:stretch>
                  </pic:blipFill>
                  <pic:spPr>
                    <a:xfrm>
                      <a:off x="0" y="0"/>
                      <a:ext cx="6502117" cy="6570921"/>
                    </a:xfrm>
                    <a:prstGeom prst="rect">
                      <a:avLst/>
                    </a:prstGeom>
                  </pic:spPr>
                </pic:pic>
              </a:graphicData>
            </a:graphic>
            <wp14:sizeRelH relativeFrom="page">
              <wp14:pctWidth>0</wp14:pctWidth>
            </wp14:sizeRelH>
            <wp14:sizeRelV relativeFrom="page">
              <wp14:pctHeight>0</wp14:pctHeight>
            </wp14:sizeRelV>
          </wp:anchor>
        </w:drawing>
      </w:r>
    </w:p>
    <w:p w:rsidR="00C20D13" w:rsidRPr="00B82474" w:rsidRDefault="00C20D13" w:rsidP="0058004C">
      <w:pPr>
        <w:rPr>
          <w:rFonts w:asciiTheme="minorHAnsi" w:hAnsiTheme="minorHAnsi" w:cstheme="minorHAnsi"/>
          <w:b/>
        </w:rPr>
      </w:pPr>
    </w:p>
    <w:sectPr w:rsidR="00C20D13" w:rsidRPr="00B82474" w:rsidSect="0017067C">
      <w:headerReference w:type="default" r:id="rId44"/>
      <w:type w:val="continuous"/>
      <w:pgSz w:w="12240" w:h="15840"/>
      <w:pgMar w:top="993" w:right="17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55" w:rsidRDefault="00620755" w:rsidP="006C72E0">
      <w:pPr>
        <w:spacing w:after="0" w:line="240" w:lineRule="auto"/>
      </w:pPr>
      <w:r>
        <w:separator/>
      </w:r>
    </w:p>
  </w:endnote>
  <w:endnote w:type="continuationSeparator" w:id="0">
    <w:p w:rsidR="00620755" w:rsidRDefault="00620755" w:rsidP="006C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07" w:rsidRPr="006A4782" w:rsidRDefault="00CF6107">
    <w:pPr>
      <w:pStyle w:val="Piedepgina"/>
      <w:jc w:val="right"/>
      <w:rPr>
        <w:sz w:val="20"/>
      </w:rPr>
    </w:pPr>
    <w:r w:rsidRPr="006A4782">
      <w:rPr>
        <w:sz w:val="20"/>
      </w:rPr>
      <w:fldChar w:fldCharType="begin"/>
    </w:r>
    <w:r w:rsidRPr="006A4782">
      <w:rPr>
        <w:sz w:val="20"/>
      </w:rPr>
      <w:instrText xml:space="preserve"> PAGE   \* MERGEFORMAT </w:instrText>
    </w:r>
    <w:r w:rsidRPr="006A4782">
      <w:rPr>
        <w:sz w:val="20"/>
      </w:rPr>
      <w:fldChar w:fldCharType="separate"/>
    </w:r>
    <w:r w:rsidR="00397988">
      <w:rPr>
        <w:noProof/>
        <w:sz w:val="20"/>
      </w:rPr>
      <w:t>21</w:t>
    </w:r>
    <w:r w:rsidRPr="006A4782">
      <w:rPr>
        <w:noProof/>
        <w:sz w:val="20"/>
      </w:rPr>
      <w:fldChar w:fldCharType="end"/>
    </w:r>
  </w:p>
  <w:p w:rsidR="00CF6107" w:rsidRDefault="00CF61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55" w:rsidRDefault="00620755" w:rsidP="006C72E0">
      <w:pPr>
        <w:spacing w:after="0" w:line="240" w:lineRule="auto"/>
      </w:pPr>
      <w:r>
        <w:separator/>
      </w:r>
    </w:p>
  </w:footnote>
  <w:footnote w:type="continuationSeparator" w:id="0">
    <w:p w:rsidR="00620755" w:rsidRDefault="00620755" w:rsidP="006C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07" w:rsidRDefault="00CF6107">
    <w:pPr>
      <w:pStyle w:val="Encabezado"/>
    </w:pPr>
  </w:p>
  <w:p w:rsidR="00CF6107" w:rsidRDefault="00CF61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07" w:rsidRDefault="00CF6107">
    <w:pPr>
      <w:pStyle w:val="Encabezado"/>
    </w:pPr>
  </w:p>
  <w:p w:rsidR="00CF6107" w:rsidRDefault="00CF61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FDB"/>
    <w:multiLevelType w:val="hybridMultilevel"/>
    <w:tmpl w:val="88D288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1067B"/>
    <w:multiLevelType w:val="hybridMultilevel"/>
    <w:tmpl w:val="13F63DE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87783C"/>
    <w:multiLevelType w:val="hybridMultilevel"/>
    <w:tmpl w:val="AAB20D18"/>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2A5716C4"/>
    <w:multiLevelType w:val="hybridMultilevel"/>
    <w:tmpl w:val="B5F029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D82A10"/>
    <w:multiLevelType w:val="hybridMultilevel"/>
    <w:tmpl w:val="A4D87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53BF5"/>
    <w:multiLevelType w:val="hybridMultilevel"/>
    <w:tmpl w:val="DFC072EC"/>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0D68BF"/>
    <w:multiLevelType w:val="hybridMultilevel"/>
    <w:tmpl w:val="51C6AD9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15:restartNumberingAfterBreak="0">
    <w:nsid w:val="43D22412"/>
    <w:multiLevelType w:val="hybridMultilevel"/>
    <w:tmpl w:val="0106B1CE"/>
    <w:lvl w:ilvl="0" w:tplc="0602C34E">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C246B5"/>
    <w:multiLevelType w:val="hybridMultilevel"/>
    <w:tmpl w:val="A280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706410"/>
    <w:multiLevelType w:val="hybridMultilevel"/>
    <w:tmpl w:val="247C1D4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402DF2"/>
    <w:multiLevelType w:val="hybridMultilevel"/>
    <w:tmpl w:val="964A0C7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775D5"/>
    <w:multiLevelType w:val="hybridMultilevel"/>
    <w:tmpl w:val="616A817A"/>
    <w:lvl w:ilvl="0" w:tplc="6DEE9C8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6B6684"/>
    <w:multiLevelType w:val="hybridMultilevel"/>
    <w:tmpl w:val="313C14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9C2D8E"/>
    <w:multiLevelType w:val="hybridMultilevel"/>
    <w:tmpl w:val="2CA8B752"/>
    <w:lvl w:ilvl="0" w:tplc="420C5100">
      <w:start w:val="1"/>
      <w:numFmt w:val="bullet"/>
      <w:lvlText w:val=""/>
      <w:lvlJc w:val="left"/>
      <w:pPr>
        <w:ind w:left="1146"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2326CD0"/>
    <w:multiLevelType w:val="hybridMultilevel"/>
    <w:tmpl w:val="D14CCAC2"/>
    <w:lvl w:ilvl="0" w:tplc="7E2269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62452BC6"/>
    <w:multiLevelType w:val="hybridMultilevel"/>
    <w:tmpl w:val="D14CCAC2"/>
    <w:lvl w:ilvl="0" w:tplc="7E2269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7FD2B58"/>
    <w:multiLevelType w:val="hybridMultilevel"/>
    <w:tmpl w:val="BF66214C"/>
    <w:lvl w:ilvl="0" w:tplc="9CFE6A8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1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5"/>
  </w:num>
  <w:num w:numId="9">
    <w:abstractNumId w:val="4"/>
  </w:num>
  <w:num w:numId="10">
    <w:abstractNumId w:val="0"/>
  </w:num>
  <w:num w:numId="11">
    <w:abstractNumId w:val="13"/>
  </w:num>
  <w:num w:numId="12">
    <w:abstractNumId w:val="1"/>
  </w:num>
  <w:num w:numId="13">
    <w:abstractNumId w:val="10"/>
  </w:num>
  <w:num w:numId="14">
    <w:abstractNumId w:val="9"/>
  </w:num>
  <w:num w:numId="15">
    <w:abstractNumId w:val="6"/>
  </w:num>
  <w:num w:numId="16">
    <w:abstractNumId w:val="7"/>
  </w:num>
  <w:num w:numId="17">
    <w:abstractNumId w:val="12"/>
  </w:num>
  <w:num w:numId="18">
    <w:abstractNumId w:val="2"/>
  </w:num>
  <w:num w:numId="19">
    <w:abstractNumId w:val="16"/>
  </w:num>
  <w:num w:numId="20">
    <w:abstractNumId w:val="15"/>
  </w:num>
  <w:num w:numId="21">
    <w:abstractNumId w:val="14"/>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7"/>
    <w:rsid w:val="0000006A"/>
    <w:rsid w:val="00002E00"/>
    <w:rsid w:val="0000484B"/>
    <w:rsid w:val="0000573F"/>
    <w:rsid w:val="00005FF8"/>
    <w:rsid w:val="00007FA0"/>
    <w:rsid w:val="000105AE"/>
    <w:rsid w:val="000132EF"/>
    <w:rsid w:val="0001388F"/>
    <w:rsid w:val="00016E03"/>
    <w:rsid w:val="00016F89"/>
    <w:rsid w:val="00020A32"/>
    <w:rsid w:val="00020E97"/>
    <w:rsid w:val="00022313"/>
    <w:rsid w:val="0002276D"/>
    <w:rsid w:val="00022EDE"/>
    <w:rsid w:val="00023DA5"/>
    <w:rsid w:val="00024349"/>
    <w:rsid w:val="00025F48"/>
    <w:rsid w:val="00030231"/>
    <w:rsid w:val="00031FEB"/>
    <w:rsid w:val="000320CE"/>
    <w:rsid w:val="00032B6D"/>
    <w:rsid w:val="00033E96"/>
    <w:rsid w:val="0003434C"/>
    <w:rsid w:val="000353A5"/>
    <w:rsid w:val="00036F20"/>
    <w:rsid w:val="00037530"/>
    <w:rsid w:val="00040652"/>
    <w:rsid w:val="00042B18"/>
    <w:rsid w:val="00046101"/>
    <w:rsid w:val="00046893"/>
    <w:rsid w:val="00047C52"/>
    <w:rsid w:val="000501DD"/>
    <w:rsid w:val="00051340"/>
    <w:rsid w:val="000537C3"/>
    <w:rsid w:val="00055039"/>
    <w:rsid w:val="000556E2"/>
    <w:rsid w:val="00055E5E"/>
    <w:rsid w:val="0005629E"/>
    <w:rsid w:val="00057562"/>
    <w:rsid w:val="00063FBA"/>
    <w:rsid w:val="00064411"/>
    <w:rsid w:val="00066915"/>
    <w:rsid w:val="00067582"/>
    <w:rsid w:val="000711A3"/>
    <w:rsid w:val="0007194E"/>
    <w:rsid w:val="00071FE6"/>
    <w:rsid w:val="000734C7"/>
    <w:rsid w:val="000745DD"/>
    <w:rsid w:val="000758DC"/>
    <w:rsid w:val="00077E7F"/>
    <w:rsid w:val="000809B3"/>
    <w:rsid w:val="00081813"/>
    <w:rsid w:val="00081A2D"/>
    <w:rsid w:val="00083AFB"/>
    <w:rsid w:val="00083D5F"/>
    <w:rsid w:val="000855BE"/>
    <w:rsid w:val="00090277"/>
    <w:rsid w:val="000910E8"/>
    <w:rsid w:val="000917C5"/>
    <w:rsid w:val="0009218B"/>
    <w:rsid w:val="00092658"/>
    <w:rsid w:val="00092BB5"/>
    <w:rsid w:val="00094553"/>
    <w:rsid w:val="00096675"/>
    <w:rsid w:val="00097BCF"/>
    <w:rsid w:val="00097E4F"/>
    <w:rsid w:val="000A39A2"/>
    <w:rsid w:val="000A3D92"/>
    <w:rsid w:val="000A784F"/>
    <w:rsid w:val="000B6210"/>
    <w:rsid w:val="000B72F4"/>
    <w:rsid w:val="000C0B25"/>
    <w:rsid w:val="000C1777"/>
    <w:rsid w:val="000C23E3"/>
    <w:rsid w:val="000C2833"/>
    <w:rsid w:val="000C4806"/>
    <w:rsid w:val="000C681F"/>
    <w:rsid w:val="000C75E3"/>
    <w:rsid w:val="000D0859"/>
    <w:rsid w:val="000D14F7"/>
    <w:rsid w:val="000D4876"/>
    <w:rsid w:val="000D4B75"/>
    <w:rsid w:val="000D50EF"/>
    <w:rsid w:val="000E055D"/>
    <w:rsid w:val="000E1A6B"/>
    <w:rsid w:val="000E3191"/>
    <w:rsid w:val="000E5FFA"/>
    <w:rsid w:val="000E62C3"/>
    <w:rsid w:val="000E680F"/>
    <w:rsid w:val="000E741D"/>
    <w:rsid w:val="000E7B5F"/>
    <w:rsid w:val="000F08BC"/>
    <w:rsid w:val="000F0A91"/>
    <w:rsid w:val="000F13C8"/>
    <w:rsid w:val="000F2819"/>
    <w:rsid w:val="000F44B2"/>
    <w:rsid w:val="000F6183"/>
    <w:rsid w:val="000F6A65"/>
    <w:rsid w:val="000F7189"/>
    <w:rsid w:val="00101875"/>
    <w:rsid w:val="00101EBA"/>
    <w:rsid w:val="001021B4"/>
    <w:rsid w:val="00103C0B"/>
    <w:rsid w:val="001048AB"/>
    <w:rsid w:val="00104C31"/>
    <w:rsid w:val="00105E83"/>
    <w:rsid w:val="0010639A"/>
    <w:rsid w:val="00107862"/>
    <w:rsid w:val="001115F4"/>
    <w:rsid w:val="00112CED"/>
    <w:rsid w:val="00113882"/>
    <w:rsid w:val="00114294"/>
    <w:rsid w:val="00117A86"/>
    <w:rsid w:val="0012021D"/>
    <w:rsid w:val="00121C16"/>
    <w:rsid w:val="00121D84"/>
    <w:rsid w:val="0012265F"/>
    <w:rsid w:val="001260F0"/>
    <w:rsid w:val="00130007"/>
    <w:rsid w:val="00130D4B"/>
    <w:rsid w:val="00131F95"/>
    <w:rsid w:val="00134F2F"/>
    <w:rsid w:val="001364BE"/>
    <w:rsid w:val="001374DE"/>
    <w:rsid w:val="00137589"/>
    <w:rsid w:val="00137C4B"/>
    <w:rsid w:val="00140B65"/>
    <w:rsid w:val="001443E0"/>
    <w:rsid w:val="001447A4"/>
    <w:rsid w:val="001461B3"/>
    <w:rsid w:val="00152B7B"/>
    <w:rsid w:val="001532AE"/>
    <w:rsid w:val="001540EB"/>
    <w:rsid w:val="00154BF2"/>
    <w:rsid w:val="0015601D"/>
    <w:rsid w:val="00160230"/>
    <w:rsid w:val="0016131F"/>
    <w:rsid w:val="001650DC"/>
    <w:rsid w:val="001671DF"/>
    <w:rsid w:val="0017067C"/>
    <w:rsid w:val="0017181C"/>
    <w:rsid w:val="00171DDC"/>
    <w:rsid w:val="00171EE3"/>
    <w:rsid w:val="00173A4A"/>
    <w:rsid w:val="0017418E"/>
    <w:rsid w:val="00174CC4"/>
    <w:rsid w:val="001770D0"/>
    <w:rsid w:val="00180591"/>
    <w:rsid w:val="0018098E"/>
    <w:rsid w:val="001825C6"/>
    <w:rsid w:val="00182B05"/>
    <w:rsid w:val="001863D3"/>
    <w:rsid w:val="00187308"/>
    <w:rsid w:val="001924C1"/>
    <w:rsid w:val="0019376F"/>
    <w:rsid w:val="00193A98"/>
    <w:rsid w:val="001940A1"/>
    <w:rsid w:val="00194A6C"/>
    <w:rsid w:val="001962BB"/>
    <w:rsid w:val="00196576"/>
    <w:rsid w:val="001A00AB"/>
    <w:rsid w:val="001A06F8"/>
    <w:rsid w:val="001A22FA"/>
    <w:rsid w:val="001A37F4"/>
    <w:rsid w:val="001A3CB6"/>
    <w:rsid w:val="001A4E22"/>
    <w:rsid w:val="001A50A3"/>
    <w:rsid w:val="001A51B6"/>
    <w:rsid w:val="001A5810"/>
    <w:rsid w:val="001A6674"/>
    <w:rsid w:val="001A70F0"/>
    <w:rsid w:val="001A7F28"/>
    <w:rsid w:val="001B00D5"/>
    <w:rsid w:val="001B039D"/>
    <w:rsid w:val="001B0497"/>
    <w:rsid w:val="001B0DE1"/>
    <w:rsid w:val="001B2E26"/>
    <w:rsid w:val="001B37AC"/>
    <w:rsid w:val="001B45B5"/>
    <w:rsid w:val="001B4D4A"/>
    <w:rsid w:val="001B52E8"/>
    <w:rsid w:val="001B7C27"/>
    <w:rsid w:val="001C059B"/>
    <w:rsid w:val="001C0637"/>
    <w:rsid w:val="001C48B6"/>
    <w:rsid w:val="001C4A14"/>
    <w:rsid w:val="001C61E3"/>
    <w:rsid w:val="001C6A9E"/>
    <w:rsid w:val="001C7DA1"/>
    <w:rsid w:val="001D0AFF"/>
    <w:rsid w:val="001D16E9"/>
    <w:rsid w:val="001D192B"/>
    <w:rsid w:val="001D3435"/>
    <w:rsid w:val="001D3E4A"/>
    <w:rsid w:val="001D542D"/>
    <w:rsid w:val="001D6E8A"/>
    <w:rsid w:val="001E076F"/>
    <w:rsid w:val="001E1C81"/>
    <w:rsid w:val="001E442B"/>
    <w:rsid w:val="001E469B"/>
    <w:rsid w:val="001E7A85"/>
    <w:rsid w:val="001F0FEE"/>
    <w:rsid w:val="001F2745"/>
    <w:rsid w:val="001F3DBB"/>
    <w:rsid w:val="001F575A"/>
    <w:rsid w:val="001F6288"/>
    <w:rsid w:val="001F79EB"/>
    <w:rsid w:val="001F7DFD"/>
    <w:rsid w:val="00200EC5"/>
    <w:rsid w:val="00200ED1"/>
    <w:rsid w:val="00202534"/>
    <w:rsid w:val="00202793"/>
    <w:rsid w:val="002028A5"/>
    <w:rsid w:val="00203D6F"/>
    <w:rsid w:val="00204998"/>
    <w:rsid w:val="00204E0A"/>
    <w:rsid w:val="00204E5B"/>
    <w:rsid w:val="00207183"/>
    <w:rsid w:val="0020735E"/>
    <w:rsid w:val="00210D0E"/>
    <w:rsid w:val="00213221"/>
    <w:rsid w:val="00214BF7"/>
    <w:rsid w:val="0021649B"/>
    <w:rsid w:val="0021687B"/>
    <w:rsid w:val="00216D38"/>
    <w:rsid w:val="00216DE4"/>
    <w:rsid w:val="00216FBF"/>
    <w:rsid w:val="00220B2B"/>
    <w:rsid w:val="00221692"/>
    <w:rsid w:val="002222AC"/>
    <w:rsid w:val="0022380E"/>
    <w:rsid w:val="0022385E"/>
    <w:rsid w:val="002252D4"/>
    <w:rsid w:val="00226112"/>
    <w:rsid w:val="00226A82"/>
    <w:rsid w:val="002277B4"/>
    <w:rsid w:val="00227A64"/>
    <w:rsid w:val="002309E3"/>
    <w:rsid w:val="00233FFB"/>
    <w:rsid w:val="0023446F"/>
    <w:rsid w:val="00234B55"/>
    <w:rsid w:val="0023644A"/>
    <w:rsid w:val="00236928"/>
    <w:rsid w:val="00237D1D"/>
    <w:rsid w:val="00240292"/>
    <w:rsid w:val="002407C0"/>
    <w:rsid w:val="00243AA2"/>
    <w:rsid w:val="00246B9D"/>
    <w:rsid w:val="00247BD2"/>
    <w:rsid w:val="002529F4"/>
    <w:rsid w:val="00252ABC"/>
    <w:rsid w:val="00254337"/>
    <w:rsid w:val="002544CE"/>
    <w:rsid w:val="00254AF8"/>
    <w:rsid w:val="00255367"/>
    <w:rsid w:val="002619D8"/>
    <w:rsid w:val="00263B06"/>
    <w:rsid w:val="00265208"/>
    <w:rsid w:val="0026557E"/>
    <w:rsid w:val="00267046"/>
    <w:rsid w:val="002671BF"/>
    <w:rsid w:val="00274CA6"/>
    <w:rsid w:val="00277446"/>
    <w:rsid w:val="00277685"/>
    <w:rsid w:val="00281F38"/>
    <w:rsid w:val="00282AFE"/>
    <w:rsid w:val="0028369B"/>
    <w:rsid w:val="0028375A"/>
    <w:rsid w:val="002838AF"/>
    <w:rsid w:val="0029036B"/>
    <w:rsid w:val="002915CE"/>
    <w:rsid w:val="00291E7C"/>
    <w:rsid w:val="00294C1F"/>
    <w:rsid w:val="00294E39"/>
    <w:rsid w:val="002A07C5"/>
    <w:rsid w:val="002A4A95"/>
    <w:rsid w:val="002A4CF6"/>
    <w:rsid w:val="002A5392"/>
    <w:rsid w:val="002B2D8D"/>
    <w:rsid w:val="002B622E"/>
    <w:rsid w:val="002B63EC"/>
    <w:rsid w:val="002C175F"/>
    <w:rsid w:val="002C1FEC"/>
    <w:rsid w:val="002C49E0"/>
    <w:rsid w:val="002C4E00"/>
    <w:rsid w:val="002C7220"/>
    <w:rsid w:val="002C782D"/>
    <w:rsid w:val="002D069E"/>
    <w:rsid w:val="002D2001"/>
    <w:rsid w:val="002D323C"/>
    <w:rsid w:val="002D60A0"/>
    <w:rsid w:val="002E09F8"/>
    <w:rsid w:val="002E37BC"/>
    <w:rsid w:val="002F0B2C"/>
    <w:rsid w:val="002F2400"/>
    <w:rsid w:val="002F444E"/>
    <w:rsid w:val="002F488E"/>
    <w:rsid w:val="002F5AB8"/>
    <w:rsid w:val="002F6A32"/>
    <w:rsid w:val="002F7B09"/>
    <w:rsid w:val="003011A0"/>
    <w:rsid w:val="00301C0B"/>
    <w:rsid w:val="00307506"/>
    <w:rsid w:val="00307573"/>
    <w:rsid w:val="00307EEA"/>
    <w:rsid w:val="00310FC8"/>
    <w:rsid w:val="00311160"/>
    <w:rsid w:val="00312153"/>
    <w:rsid w:val="00312254"/>
    <w:rsid w:val="00313E36"/>
    <w:rsid w:val="00314FFC"/>
    <w:rsid w:val="00322D52"/>
    <w:rsid w:val="003234E6"/>
    <w:rsid w:val="00323CB1"/>
    <w:rsid w:val="00324C4E"/>
    <w:rsid w:val="0032768C"/>
    <w:rsid w:val="003309E9"/>
    <w:rsid w:val="00331052"/>
    <w:rsid w:val="00332366"/>
    <w:rsid w:val="00336D65"/>
    <w:rsid w:val="00337B7A"/>
    <w:rsid w:val="00337CF6"/>
    <w:rsid w:val="00342300"/>
    <w:rsid w:val="00342754"/>
    <w:rsid w:val="00342A7A"/>
    <w:rsid w:val="003436D2"/>
    <w:rsid w:val="003461A1"/>
    <w:rsid w:val="003465FB"/>
    <w:rsid w:val="003466CC"/>
    <w:rsid w:val="003470CE"/>
    <w:rsid w:val="00347F92"/>
    <w:rsid w:val="00350394"/>
    <w:rsid w:val="003517AB"/>
    <w:rsid w:val="003549E4"/>
    <w:rsid w:val="00355D94"/>
    <w:rsid w:val="003571C0"/>
    <w:rsid w:val="00360A3B"/>
    <w:rsid w:val="00361988"/>
    <w:rsid w:val="00362564"/>
    <w:rsid w:val="0036339C"/>
    <w:rsid w:val="00363E8A"/>
    <w:rsid w:val="003645D8"/>
    <w:rsid w:val="0036475E"/>
    <w:rsid w:val="00364F80"/>
    <w:rsid w:val="00367D87"/>
    <w:rsid w:val="00370BAC"/>
    <w:rsid w:val="00370FC1"/>
    <w:rsid w:val="00371CBB"/>
    <w:rsid w:val="0037407F"/>
    <w:rsid w:val="00374D03"/>
    <w:rsid w:val="00376618"/>
    <w:rsid w:val="00377A3C"/>
    <w:rsid w:val="00377F03"/>
    <w:rsid w:val="00382054"/>
    <w:rsid w:val="003821F5"/>
    <w:rsid w:val="0038225D"/>
    <w:rsid w:val="0038325D"/>
    <w:rsid w:val="003835BF"/>
    <w:rsid w:val="00383FE0"/>
    <w:rsid w:val="00384716"/>
    <w:rsid w:val="00385A2D"/>
    <w:rsid w:val="00385AEF"/>
    <w:rsid w:val="00385DF6"/>
    <w:rsid w:val="00387E83"/>
    <w:rsid w:val="00391786"/>
    <w:rsid w:val="0039244E"/>
    <w:rsid w:val="003974BD"/>
    <w:rsid w:val="00397988"/>
    <w:rsid w:val="0039799D"/>
    <w:rsid w:val="003A0E08"/>
    <w:rsid w:val="003A12C1"/>
    <w:rsid w:val="003A20EF"/>
    <w:rsid w:val="003A2A05"/>
    <w:rsid w:val="003A50B1"/>
    <w:rsid w:val="003A5470"/>
    <w:rsid w:val="003A61C4"/>
    <w:rsid w:val="003A75D9"/>
    <w:rsid w:val="003B223B"/>
    <w:rsid w:val="003B24C7"/>
    <w:rsid w:val="003B5883"/>
    <w:rsid w:val="003B74DE"/>
    <w:rsid w:val="003B74E3"/>
    <w:rsid w:val="003B7A7F"/>
    <w:rsid w:val="003C19B4"/>
    <w:rsid w:val="003C3929"/>
    <w:rsid w:val="003C39D5"/>
    <w:rsid w:val="003C407A"/>
    <w:rsid w:val="003C4A71"/>
    <w:rsid w:val="003C4D1C"/>
    <w:rsid w:val="003C62CD"/>
    <w:rsid w:val="003C6CBC"/>
    <w:rsid w:val="003C7E39"/>
    <w:rsid w:val="003D0DC5"/>
    <w:rsid w:val="003D0F61"/>
    <w:rsid w:val="003D1D09"/>
    <w:rsid w:val="003D1FAF"/>
    <w:rsid w:val="003D4F9B"/>
    <w:rsid w:val="003D5DEC"/>
    <w:rsid w:val="003D6098"/>
    <w:rsid w:val="003E1F04"/>
    <w:rsid w:val="003E3A6C"/>
    <w:rsid w:val="003E3C37"/>
    <w:rsid w:val="003E3F1F"/>
    <w:rsid w:val="003E5A95"/>
    <w:rsid w:val="003E5E48"/>
    <w:rsid w:val="003E6289"/>
    <w:rsid w:val="003F1204"/>
    <w:rsid w:val="003F17FF"/>
    <w:rsid w:val="003F271C"/>
    <w:rsid w:val="003F304C"/>
    <w:rsid w:val="003F3885"/>
    <w:rsid w:val="003F3E53"/>
    <w:rsid w:val="003F52B9"/>
    <w:rsid w:val="003F6817"/>
    <w:rsid w:val="0040101B"/>
    <w:rsid w:val="004023C7"/>
    <w:rsid w:val="0040530F"/>
    <w:rsid w:val="004067AC"/>
    <w:rsid w:val="00411B13"/>
    <w:rsid w:val="0041329D"/>
    <w:rsid w:val="004149DA"/>
    <w:rsid w:val="004174BD"/>
    <w:rsid w:val="00421165"/>
    <w:rsid w:val="00421641"/>
    <w:rsid w:val="00421F2F"/>
    <w:rsid w:val="004272B8"/>
    <w:rsid w:val="00427A69"/>
    <w:rsid w:val="00430328"/>
    <w:rsid w:val="00431B0D"/>
    <w:rsid w:val="00431F46"/>
    <w:rsid w:val="00431FBB"/>
    <w:rsid w:val="0043265D"/>
    <w:rsid w:val="00433548"/>
    <w:rsid w:val="00433FDC"/>
    <w:rsid w:val="00435DB9"/>
    <w:rsid w:val="00440F65"/>
    <w:rsid w:val="0044139A"/>
    <w:rsid w:val="004418A0"/>
    <w:rsid w:val="0044242F"/>
    <w:rsid w:val="00443764"/>
    <w:rsid w:val="00443B95"/>
    <w:rsid w:val="004478BF"/>
    <w:rsid w:val="00450689"/>
    <w:rsid w:val="00450801"/>
    <w:rsid w:val="00450FF4"/>
    <w:rsid w:val="004512F7"/>
    <w:rsid w:val="004515D2"/>
    <w:rsid w:val="00451DB7"/>
    <w:rsid w:val="00454E06"/>
    <w:rsid w:val="00454F11"/>
    <w:rsid w:val="004572C3"/>
    <w:rsid w:val="00457E40"/>
    <w:rsid w:val="004630F0"/>
    <w:rsid w:val="00471BEC"/>
    <w:rsid w:val="0047203A"/>
    <w:rsid w:val="00472C77"/>
    <w:rsid w:val="0047362F"/>
    <w:rsid w:val="00477EDB"/>
    <w:rsid w:val="00480799"/>
    <w:rsid w:val="00481D23"/>
    <w:rsid w:val="004821C2"/>
    <w:rsid w:val="00484359"/>
    <w:rsid w:val="00487810"/>
    <w:rsid w:val="00490C10"/>
    <w:rsid w:val="00491034"/>
    <w:rsid w:val="0049262D"/>
    <w:rsid w:val="00493D21"/>
    <w:rsid w:val="00494BB1"/>
    <w:rsid w:val="004957E8"/>
    <w:rsid w:val="004A0D93"/>
    <w:rsid w:val="004A13A3"/>
    <w:rsid w:val="004A2300"/>
    <w:rsid w:val="004A620C"/>
    <w:rsid w:val="004A6F6A"/>
    <w:rsid w:val="004A70F1"/>
    <w:rsid w:val="004B2943"/>
    <w:rsid w:val="004B3EE5"/>
    <w:rsid w:val="004B7182"/>
    <w:rsid w:val="004C0711"/>
    <w:rsid w:val="004C0DCC"/>
    <w:rsid w:val="004C113D"/>
    <w:rsid w:val="004C12FD"/>
    <w:rsid w:val="004C171D"/>
    <w:rsid w:val="004C2483"/>
    <w:rsid w:val="004C58A9"/>
    <w:rsid w:val="004C62D3"/>
    <w:rsid w:val="004C7727"/>
    <w:rsid w:val="004D0F7C"/>
    <w:rsid w:val="004D3B4E"/>
    <w:rsid w:val="004E2E16"/>
    <w:rsid w:val="004E3536"/>
    <w:rsid w:val="004E487F"/>
    <w:rsid w:val="004E6940"/>
    <w:rsid w:val="004F2BFC"/>
    <w:rsid w:val="004F52A7"/>
    <w:rsid w:val="004F70DD"/>
    <w:rsid w:val="004F7682"/>
    <w:rsid w:val="00500034"/>
    <w:rsid w:val="0050030A"/>
    <w:rsid w:val="00502415"/>
    <w:rsid w:val="00503258"/>
    <w:rsid w:val="005034A6"/>
    <w:rsid w:val="00503716"/>
    <w:rsid w:val="005037EF"/>
    <w:rsid w:val="00503CBF"/>
    <w:rsid w:val="005040D0"/>
    <w:rsid w:val="0050568B"/>
    <w:rsid w:val="00507A47"/>
    <w:rsid w:val="005103E9"/>
    <w:rsid w:val="005121A5"/>
    <w:rsid w:val="0051467A"/>
    <w:rsid w:val="00514A3B"/>
    <w:rsid w:val="00516005"/>
    <w:rsid w:val="00516DA0"/>
    <w:rsid w:val="005201B2"/>
    <w:rsid w:val="00523B57"/>
    <w:rsid w:val="00525121"/>
    <w:rsid w:val="005253F9"/>
    <w:rsid w:val="005278CF"/>
    <w:rsid w:val="00527A85"/>
    <w:rsid w:val="00527C22"/>
    <w:rsid w:val="0053146C"/>
    <w:rsid w:val="005325C3"/>
    <w:rsid w:val="0053468F"/>
    <w:rsid w:val="00536C98"/>
    <w:rsid w:val="00537236"/>
    <w:rsid w:val="0053745D"/>
    <w:rsid w:val="0054165E"/>
    <w:rsid w:val="00542B38"/>
    <w:rsid w:val="00542C7E"/>
    <w:rsid w:val="00543756"/>
    <w:rsid w:val="00543ACC"/>
    <w:rsid w:val="005474CA"/>
    <w:rsid w:val="00550EA0"/>
    <w:rsid w:val="00551007"/>
    <w:rsid w:val="00555238"/>
    <w:rsid w:val="0055712A"/>
    <w:rsid w:val="00560875"/>
    <w:rsid w:val="00562C19"/>
    <w:rsid w:val="0056530A"/>
    <w:rsid w:val="0056558A"/>
    <w:rsid w:val="0056766B"/>
    <w:rsid w:val="005704C8"/>
    <w:rsid w:val="00570B76"/>
    <w:rsid w:val="0057178D"/>
    <w:rsid w:val="00572351"/>
    <w:rsid w:val="00573899"/>
    <w:rsid w:val="005744B0"/>
    <w:rsid w:val="005751CB"/>
    <w:rsid w:val="0057763D"/>
    <w:rsid w:val="005776E1"/>
    <w:rsid w:val="00577A6F"/>
    <w:rsid w:val="0058004C"/>
    <w:rsid w:val="00583596"/>
    <w:rsid w:val="005843E4"/>
    <w:rsid w:val="00584A60"/>
    <w:rsid w:val="00585107"/>
    <w:rsid w:val="00585E6C"/>
    <w:rsid w:val="0058615C"/>
    <w:rsid w:val="0059147F"/>
    <w:rsid w:val="0059290E"/>
    <w:rsid w:val="005933D2"/>
    <w:rsid w:val="00595AE1"/>
    <w:rsid w:val="00597041"/>
    <w:rsid w:val="005974CD"/>
    <w:rsid w:val="00597A9B"/>
    <w:rsid w:val="00597FBB"/>
    <w:rsid w:val="005A0BB1"/>
    <w:rsid w:val="005A1CF5"/>
    <w:rsid w:val="005A4D68"/>
    <w:rsid w:val="005A5425"/>
    <w:rsid w:val="005A628A"/>
    <w:rsid w:val="005A7267"/>
    <w:rsid w:val="005B106F"/>
    <w:rsid w:val="005B238E"/>
    <w:rsid w:val="005B4D8B"/>
    <w:rsid w:val="005B4E4B"/>
    <w:rsid w:val="005B5C2B"/>
    <w:rsid w:val="005B6BFE"/>
    <w:rsid w:val="005B7997"/>
    <w:rsid w:val="005B7E54"/>
    <w:rsid w:val="005C026F"/>
    <w:rsid w:val="005C0779"/>
    <w:rsid w:val="005C13B8"/>
    <w:rsid w:val="005C2F35"/>
    <w:rsid w:val="005C51FF"/>
    <w:rsid w:val="005C58AE"/>
    <w:rsid w:val="005C7A59"/>
    <w:rsid w:val="005D0674"/>
    <w:rsid w:val="005D0761"/>
    <w:rsid w:val="005D0A98"/>
    <w:rsid w:val="005D59D6"/>
    <w:rsid w:val="005D71FF"/>
    <w:rsid w:val="005E15AE"/>
    <w:rsid w:val="005E1E3A"/>
    <w:rsid w:val="005E39BA"/>
    <w:rsid w:val="005E492A"/>
    <w:rsid w:val="005E52E3"/>
    <w:rsid w:val="005E7876"/>
    <w:rsid w:val="005F18CC"/>
    <w:rsid w:val="005F3076"/>
    <w:rsid w:val="005F6B4B"/>
    <w:rsid w:val="00600285"/>
    <w:rsid w:val="00601016"/>
    <w:rsid w:val="006017AD"/>
    <w:rsid w:val="00604115"/>
    <w:rsid w:val="00604182"/>
    <w:rsid w:val="00606A79"/>
    <w:rsid w:val="00607E59"/>
    <w:rsid w:val="00612E89"/>
    <w:rsid w:val="00613B49"/>
    <w:rsid w:val="00614AC8"/>
    <w:rsid w:val="0061594C"/>
    <w:rsid w:val="00616425"/>
    <w:rsid w:val="00617F28"/>
    <w:rsid w:val="00620755"/>
    <w:rsid w:val="00620C32"/>
    <w:rsid w:val="00621678"/>
    <w:rsid w:val="00621D06"/>
    <w:rsid w:val="00623286"/>
    <w:rsid w:val="00623E00"/>
    <w:rsid w:val="0062577D"/>
    <w:rsid w:val="00625A42"/>
    <w:rsid w:val="0062681F"/>
    <w:rsid w:val="0062797C"/>
    <w:rsid w:val="006303BD"/>
    <w:rsid w:val="00631947"/>
    <w:rsid w:val="00632586"/>
    <w:rsid w:val="00633F9D"/>
    <w:rsid w:val="006344C0"/>
    <w:rsid w:val="00642F9A"/>
    <w:rsid w:val="00642FFF"/>
    <w:rsid w:val="00643E87"/>
    <w:rsid w:val="006443CC"/>
    <w:rsid w:val="00644750"/>
    <w:rsid w:val="00650B2B"/>
    <w:rsid w:val="006536DC"/>
    <w:rsid w:val="006568DF"/>
    <w:rsid w:val="0065718A"/>
    <w:rsid w:val="00661E4A"/>
    <w:rsid w:val="00661F2A"/>
    <w:rsid w:val="00664519"/>
    <w:rsid w:val="00664D35"/>
    <w:rsid w:val="00666A0D"/>
    <w:rsid w:val="006678D3"/>
    <w:rsid w:val="00667DA8"/>
    <w:rsid w:val="006706D8"/>
    <w:rsid w:val="0067077F"/>
    <w:rsid w:val="00672487"/>
    <w:rsid w:val="00673422"/>
    <w:rsid w:val="006735C9"/>
    <w:rsid w:val="0067459B"/>
    <w:rsid w:val="00674DA7"/>
    <w:rsid w:val="00676DF2"/>
    <w:rsid w:val="00684F55"/>
    <w:rsid w:val="00685016"/>
    <w:rsid w:val="00686B87"/>
    <w:rsid w:val="00686D63"/>
    <w:rsid w:val="00687087"/>
    <w:rsid w:val="00687A03"/>
    <w:rsid w:val="00690CB9"/>
    <w:rsid w:val="006923A7"/>
    <w:rsid w:val="00693D42"/>
    <w:rsid w:val="006957B1"/>
    <w:rsid w:val="006965AB"/>
    <w:rsid w:val="006A049C"/>
    <w:rsid w:val="006A0507"/>
    <w:rsid w:val="006A2C5C"/>
    <w:rsid w:val="006A357B"/>
    <w:rsid w:val="006A38AD"/>
    <w:rsid w:val="006A470B"/>
    <w:rsid w:val="006A4782"/>
    <w:rsid w:val="006A5175"/>
    <w:rsid w:val="006A523B"/>
    <w:rsid w:val="006A548A"/>
    <w:rsid w:val="006A55EA"/>
    <w:rsid w:val="006A5B28"/>
    <w:rsid w:val="006A7C29"/>
    <w:rsid w:val="006B0351"/>
    <w:rsid w:val="006B0CBE"/>
    <w:rsid w:val="006B1AD6"/>
    <w:rsid w:val="006B4265"/>
    <w:rsid w:val="006B481F"/>
    <w:rsid w:val="006B4F84"/>
    <w:rsid w:val="006B5380"/>
    <w:rsid w:val="006B6631"/>
    <w:rsid w:val="006C0512"/>
    <w:rsid w:val="006C0AA1"/>
    <w:rsid w:val="006C1372"/>
    <w:rsid w:val="006C244E"/>
    <w:rsid w:val="006C3A61"/>
    <w:rsid w:val="006C4386"/>
    <w:rsid w:val="006C44CD"/>
    <w:rsid w:val="006C515E"/>
    <w:rsid w:val="006C5CDE"/>
    <w:rsid w:val="006C72E0"/>
    <w:rsid w:val="006D24F8"/>
    <w:rsid w:val="006D3212"/>
    <w:rsid w:val="006D347C"/>
    <w:rsid w:val="006D393E"/>
    <w:rsid w:val="006D43C4"/>
    <w:rsid w:val="006D4DB0"/>
    <w:rsid w:val="006D5E50"/>
    <w:rsid w:val="006D76FA"/>
    <w:rsid w:val="006E0805"/>
    <w:rsid w:val="006E0950"/>
    <w:rsid w:val="006E2BF1"/>
    <w:rsid w:val="006E3E72"/>
    <w:rsid w:val="006E4915"/>
    <w:rsid w:val="006E58F9"/>
    <w:rsid w:val="006E5929"/>
    <w:rsid w:val="006E7505"/>
    <w:rsid w:val="006F05B8"/>
    <w:rsid w:val="006F0CD9"/>
    <w:rsid w:val="006F2382"/>
    <w:rsid w:val="006F484A"/>
    <w:rsid w:val="006F5421"/>
    <w:rsid w:val="00700354"/>
    <w:rsid w:val="00705535"/>
    <w:rsid w:val="00710885"/>
    <w:rsid w:val="00710B14"/>
    <w:rsid w:val="00710DE6"/>
    <w:rsid w:val="00710FE5"/>
    <w:rsid w:val="0071182D"/>
    <w:rsid w:val="007118D0"/>
    <w:rsid w:val="007119FA"/>
    <w:rsid w:val="0071344D"/>
    <w:rsid w:val="00715638"/>
    <w:rsid w:val="00716369"/>
    <w:rsid w:val="00720E9E"/>
    <w:rsid w:val="00721ADB"/>
    <w:rsid w:val="007225FB"/>
    <w:rsid w:val="0073108B"/>
    <w:rsid w:val="007334BE"/>
    <w:rsid w:val="00735B43"/>
    <w:rsid w:val="007457DE"/>
    <w:rsid w:val="00746635"/>
    <w:rsid w:val="007474B4"/>
    <w:rsid w:val="007476E3"/>
    <w:rsid w:val="00747D1E"/>
    <w:rsid w:val="007519F0"/>
    <w:rsid w:val="00751C16"/>
    <w:rsid w:val="00752F78"/>
    <w:rsid w:val="00755229"/>
    <w:rsid w:val="00755610"/>
    <w:rsid w:val="00756256"/>
    <w:rsid w:val="0075652C"/>
    <w:rsid w:val="007570A0"/>
    <w:rsid w:val="00761187"/>
    <w:rsid w:val="00762938"/>
    <w:rsid w:val="00764557"/>
    <w:rsid w:val="00766469"/>
    <w:rsid w:val="00770113"/>
    <w:rsid w:val="007721AC"/>
    <w:rsid w:val="00775356"/>
    <w:rsid w:val="00775D1F"/>
    <w:rsid w:val="00777235"/>
    <w:rsid w:val="007774F3"/>
    <w:rsid w:val="0078089C"/>
    <w:rsid w:val="00782718"/>
    <w:rsid w:val="00783DBB"/>
    <w:rsid w:val="0078504F"/>
    <w:rsid w:val="007856E4"/>
    <w:rsid w:val="00785C34"/>
    <w:rsid w:val="0079104F"/>
    <w:rsid w:val="00792390"/>
    <w:rsid w:val="007936EF"/>
    <w:rsid w:val="0079447B"/>
    <w:rsid w:val="00795434"/>
    <w:rsid w:val="007957F3"/>
    <w:rsid w:val="0079633B"/>
    <w:rsid w:val="00797689"/>
    <w:rsid w:val="007A0443"/>
    <w:rsid w:val="007A300F"/>
    <w:rsid w:val="007A3BF8"/>
    <w:rsid w:val="007A57F9"/>
    <w:rsid w:val="007A6CA1"/>
    <w:rsid w:val="007A702B"/>
    <w:rsid w:val="007B12A0"/>
    <w:rsid w:val="007B1334"/>
    <w:rsid w:val="007B291C"/>
    <w:rsid w:val="007B475F"/>
    <w:rsid w:val="007B4DEE"/>
    <w:rsid w:val="007B5206"/>
    <w:rsid w:val="007B5C72"/>
    <w:rsid w:val="007C0045"/>
    <w:rsid w:val="007C1149"/>
    <w:rsid w:val="007C6527"/>
    <w:rsid w:val="007C6745"/>
    <w:rsid w:val="007C714D"/>
    <w:rsid w:val="007C7461"/>
    <w:rsid w:val="007C77B5"/>
    <w:rsid w:val="007D1A0F"/>
    <w:rsid w:val="007D1D5C"/>
    <w:rsid w:val="007D3EC0"/>
    <w:rsid w:val="007D5AC9"/>
    <w:rsid w:val="007D63E7"/>
    <w:rsid w:val="007D71D4"/>
    <w:rsid w:val="007E0C4C"/>
    <w:rsid w:val="007E1712"/>
    <w:rsid w:val="007E51A9"/>
    <w:rsid w:val="007E55D6"/>
    <w:rsid w:val="007E5E19"/>
    <w:rsid w:val="007E7247"/>
    <w:rsid w:val="007E75F0"/>
    <w:rsid w:val="007F0A36"/>
    <w:rsid w:val="007F0BB7"/>
    <w:rsid w:val="007F7C57"/>
    <w:rsid w:val="00800624"/>
    <w:rsid w:val="008006A8"/>
    <w:rsid w:val="00801415"/>
    <w:rsid w:val="00801DCF"/>
    <w:rsid w:val="008036B8"/>
    <w:rsid w:val="008041D2"/>
    <w:rsid w:val="00807C70"/>
    <w:rsid w:val="00811653"/>
    <w:rsid w:val="00812708"/>
    <w:rsid w:val="008133BE"/>
    <w:rsid w:val="0081388E"/>
    <w:rsid w:val="00813B40"/>
    <w:rsid w:val="0081586F"/>
    <w:rsid w:val="00816685"/>
    <w:rsid w:val="00816E7A"/>
    <w:rsid w:val="00820EF7"/>
    <w:rsid w:val="00821108"/>
    <w:rsid w:val="0082147E"/>
    <w:rsid w:val="0082182A"/>
    <w:rsid w:val="00821FBB"/>
    <w:rsid w:val="00823C04"/>
    <w:rsid w:val="00825A0D"/>
    <w:rsid w:val="00825E7E"/>
    <w:rsid w:val="008261D3"/>
    <w:rsid w:val="008307F7"/>
    <w:rsid w:val="00832191"/>
    <w:rsid w:val="00832DB9"/>
    <w:rsid w:val="00833460"/>
    <w:rsid w:val="00833DDB"/>
    <w:rsid w:val="0083442C"/>
    <w:rsid w:val="00840C1C"/>
    <w:rsid w:val="00841B6C"/>
    <w:rsid w:val="00844607"/>
    <w:rsid w:val="00844EE1"/>
    <w:rsid w:val="00845869"/>
    <w:rsid w:val="008467CF"/>
    <w:rsid w:val="00850EFD"/>
    <w:rsid w:val="008527CE"/>
    <w:rsid w:val="00854B12"/>
    <w:rsid w:val="00854E5B"/>
    <w:rsid w:val="00855B33"/>
    <w:rsid w:val="0085655B"/>
    <w:rsid w:val="00857161"/>
    <w:rsid w:val="00860A89"/>
    <w:rsid w:val="008623B5"/>
    <w:rsid w:val="0086369B"/>
    <w:rsid w:val="00864DAD"/>
    <w:rsid w:val="0086509A"/>
    <w:rsid w:val="00865559"/>
    <w:rsid w:val="00866FD3"/>
    <w:rsid w:val="008675E1"/>
    <w:rsid w:val="00871AC2"/>
    <w:rsid w:val="00872F7F"/>
    <w:rsid w:val="00873530"/>
    <w:rsid w:val="008740C6"/>
    <w:rsid w:val="00874184"/>
    <w:rsid w:val="00880205"/>
    <w:rsid w:val="0088130A"/>
    <w:rsid w:val="00885DF7"/>
    <w:rsid w:val="00893581"/>
    <w:rsid w:val="00895727"/>
    <w:rsid w:val="00895F2F"/>
    <w:rsid w:val="00897A59"/>
    <w:rsid w:val="00897BE4"/>
    <w:rsid w:val="00897DDC"/>
    <w:rsid w:val="008A108B"/>
    <w:rsid w:val="008A1F9D"/>
    <w:rsid w:val="008A51A8"/>
    <w:rsid w:val="008A5D57"/>
    <w:rsid w:val="008B072E"/>
    <w:rsid w:val="008B0AA2"/>
    <w:rsid w:val="008B37E4"/>
    <w:rsid w:val="008B68E5"/>
    <w:rsid w:val="008B6F18"/>
    <w:rsid w:val="008B70D5"/>
    <w:rsid w:val="008B7E18"/>
    <w:rsid w:val="008C00F9"/>
    <w:rsid w:val="008C1534"/>
    <w:rsid w:val="008C1D98"/>
    <w:rsid w:val="008C245A"/>
    <w:rsid w:val="008C4DBC"/>
    <w:rsid w:val="008C5763"/>
    <w:rsid w:val="008C6791"/>
    <w:rsid w:val="008C6CDA"/>
    <w:rsid w:val="008C6F9C"/>
    <w:rsid w:val="008D105B"/>
    <w:rsid w:val="008D43DF"/>
    <w:rsid w:val="008D5013"/>
    <w:rsid w:val="008D5904"/>
    <w:rsid w:val="008E02E9"/>
    <w:rsid w:val="008E030A"/>
    <w:rsid w:val="008E175E"/>
    <w:rsid w:val="008E1790"/>
    <w:rsid w:val="008E1D5F"/>
    <w:rsid w:val="008E3D19"/>
    <w:rsid w:val="008E4646"/>
    <w:rsid w:val="008E4B93"/>
    <w:rsid w:val="008E505B"/>
    <w:rsid w:val="008E5A1C"/>
    <w:rsid w:val="008E6518"/>
    <w:rsid w:val="008F0E26"/>
    <w:rsid w:val="008F13DF"/>
    <w:rsid w:val="008F3713"/>
    <w:rsid w:val="008F407A"/>
    <w:rsid w:val="008F7350"/>
    <w:rsid w:val="00900CBA"/>
    <w:rsid w:val="0090715B"/>
    <w:rsid w:val="009077FB"/>
    <w:rsid w:val="00907D94"/>
    <w:rsid w:val="00910835"/>
    <w:rsid w:val="00913722"/>
    <w:rsid w:val="009162B4"/>
    <w:rsid w:val="009205F7"/>
    <w:rsid w:val="009226E8"/>
    <w:rsid w:val="009241C4"/>
    <w:rsid w:val="009260F4"/>
    <w:rsid w:val="00926E1D"/>
    <w:rsid w:val="0092722C"/>
    <w:rsid w:val="00927F82"/>
    <w:rsid w:val="00927FA2"/>
    <w:rsid w:val="00932691"/>
    <w:rsid w:val="00933321"/>
    <w:rsid w:val="00933EAF"/>
    <w:rsid w:val="00943647"/>
    <w:rsid w:val="009437E0"/>
    <w:rsid w:val="00943E17"/>
    <w:rsid w:val="00951DBF"/>
    <w:rsid w:val="00952E82"/>
    <w:rsid w:val="00953B20"/>
    <w:rsid w:val="00953F9F"/>
    <w:rsid w:val="00954A79"/>
    <w:rsid w:val="0095757C"/>
    <w:rsid w:val="00957A04"/>
    <w:rsid w:val="009628B8"/>
    <w:rsid w:val="00962C7A"/>
    <w:rsid w:val="0096472D"/>
    <w:rsid w:val="00964D58"/>
    <w:rsid w:val="00965B92"/>
    <w:rsid w:val="00966A8A"/>
    <w:rsid w:val="00970BE1"/>
    <w:rsid w:val="00973F60"/>
    <w:rsid w:val="009740D0"/>
    <w:rsid w:val="00980029"/>
    <w:rsid w:val="0098233D"/>
    <w:rsid w:val="00982D7F"/>
    <w:rsid w:val="00982F29"/>
    <w:rsid w:val="00983083"/>
    <w:rsid w:val="009839CA"/>
    <w:rsid w:val="009859AB"/>
    <w:rsid w:val="00987EAB"/>
    <w:rsid w:val="00987F57"/>
    <w:rsid w:val="00990439"/>
    <w:rsid w:val="00990837"/>
    <w:rsid w:val="009924D3"/>
    <w:rsid w:val="00992A22"/>
    <w:rsid w:val="0099766A"/>
    <w:rsid w:val="009A069E"/>
    <w:rsid w:val="009A0BB2"/>
    <w:rsid w:val="009A0F5E"/>
    <w:rsid w:val="009A1AA4"/>
    <w:rsid w:val="009A27AB"/>
    <w:rsid w:val="009A2EED"/>
    <w:rsid w:val="009A4867"/>
    <w:rsid w:val="009A6D61"/>
    <w:rsid w:val="009A73B7"/>
    <w:rsid w:val="009B04A7"/>
    <w:rsid w:val="009B2FC9"/>
    <w:rsid w:val="009B347F"/>
    <w:rsid w:val="009B4691"/>
    <w:rsid w:val="009B470D"/>
    <w:rsid w:val="009B4CFA"/>
    <w:rsid w:val="009B4DA5"/>
    <w:rsid w:val="009B54A1"/>
    <w:rsid w:val="009B594A"/>
    <w:rsid w:val="009B65F8"/>
    <w:rsid w:val="009C1358"/>
    <w:rsid w:val="009C1CD5"/>
    <w:rsid w:val="009C25CB"/>
    <w:rsid w:val="009C3047"/>
    <w:rsid w:val="009C385F"/>
    <w:rsid w:val="009C391B"/>
    <w:rsid w:val="009C5BE5"/>
    <w:rsid w:val="009C64BE"/>
    <w:rsid w:val="009C7ED8"/>
    <w:rsid w:val="009D1065"/>
    <w:rsid w:val="009E0917"/>
    <w:rsid w:val="009E28C0"/>
    <w:rsid w:val="009E52ED"/>
    <w:rsid w:val="009E65D0"/>
    <w:rsid w:val="009F31CD"/>
    <w:rsid w:val="009F365D"/>
    <w:rsid w:val="009F4B05"/>
    <w:rsid w:val="009F6EFA"/>
    <w:rsid w:val="00A014C2"/>
    <w:rsid w:val="00A01C52"/>
    <w:rsid w:val="00A032F4"/>
    <w:rsid w:val="00A05A92"/>
    <w:rsid w:val="00A0612F"/>
    <w:rsid w:val="00A0787F"/>
    <w:rsid w:val="00A07B76"/>
    <w:rsid w:val="00A107C5"/>
    <w:rsid w:val="00A1080B"/>
    <w:rsid w:val="00A10F36"/>
    <w:rsid w:val="00A113DD"/>
    <w:rsid w:val="00A13B34"/>
    <w:rsid w:val="00A13D94"/>
    <w:rsid w:val="00A14033"/>
    <w:rsid w:val="00A1565C"/>
    <w:rsid w:val="00A17AAF"/>
    <w:rsid w:val="00A17AB3"/>
    <w:rsid w:val="00A217CD"/>
    <w:rsid w:val="00A226E3"/>
    <w:rsid w:val="00A22A39"/>
    <w:rsid w:val="00A22C30"/>
    <w:rsid w:val="00A24305"/>
    <w:rsid w:val="00A24979"/>
    <w:rsid w:val="00A25D87"/>
    <w:rsid w:val="00A261DD"/>
    <w:rsid w:val="00A3040D"/>
    <w:rsid w:val="00A30645"/>
    <w:rsid w:val="00A3166A"/>
    <w:rsid w:val="00A32E19"/>
    <w:rsid w:val="00A349BC"/>
    <w:rsid w:val="00A36278"/>
    <w:rsid w:val="00A36E44"/>
    <w:rsid w:val="00A404D9"/>
    <w:rsid w:val="00A418AC"/>
    <w:rsid w:val="00A41A23"/>
    <w:rsid w:val="00A425CE"/>
    <w:rsid w:val="00A467AF"/>
    <w:rsid w:val="00A475B8"/>
    <w:rsid w:val="00A50465"/>
    <w:rsid w:val="00A505F9"/>
    <w:rsid w:val="00A54488"/>
    <w:rsid w:val="00A55390"/>
    <w:rsid w:val="00A555E9"/>
    <w:rsid w:val="00A56A80"/>
    <w:rsid w:val="00A6074B"/>
    <w:rsid w:val="00A633D2"/>
    <w:rsid w:val="00A715B4"/>
    <w:rsid w:val="00A74B15"/>
    <w:rsid w:val="00A76585"/>
    <w:rsid w:val="00A768F3"/>
    <w:rsid w:val="00A77AF0"/>
    <w:rsid w:val="00A800B2"/>
    <w:rsid w:val="00A821EE"/>
    <w:rsid w:val="00A827B0"/>
    <w:rsid w:val="00A8347A"/>
    <w:rsid w:val="00A86B06"/>
    <w:rsid w:val="00A874A9"/>
    <w:rsid w:val="00A91A6B"/>
    <w:rsid w:val="00A93AC9"/>
    <w:rsid w:val="00A94054"/>
    <w:rsid w:val="00A957D4"/>
    <w:rsid w:val="00A959DD"/>
    <w:rsid w:val="00A9609B"/>
    <w:rsid w:val="00A96879"/>
    <w:rsid w:val="00A9746A"/>
    <w:rsid w:val="00AA13DE"/>
    <w:rsid w:val="00AA5055"/>
    <w:rsid w:val="00AA511A"/>
    <w:rsid w:val="00AA5308"/>
    <w:rsid w:val="00AA7196"/>
    <w:rsid w:val="00AB1B2B"/>
    <w:rsid w:val="00AB20EF"/>
    <w:rsid w:val="00AB2FDF"/>
    <w:rsid w:val="00AB3180"/>
    <w:rsid w:val="00AB3845"/>
    <w:rsid w:val="00AB4A6F"/>
    <w:rsid w:val="00AB6357"/>
    <w:rsid w:val="00AB6957"/>
    <w:rsid w:val="00AB7F61"/>
    <w:rsid w:val="00AC03FA"/>
    <w:rsid w:val="00AC078C"/>
    <w:rsid w:val="00AC1A79"/>
    <w:rsid w:val="00AC25D4"/>
    <w:rsid w:val="00AC5A70"/>
    <w:rsid w:val="00AC62DE"/>
    <w:rsid w:val="00AC6447"/>
    <w:rsid w:val="00AD179E"/>
    <w:rsid w:val="00AD439A"/>
    <w:rsid w:val="00AD6CA4"/>
    <w:rsid w:val="00AD6CEB"/>
    <w:rsid w:val="00AD7338"/>
    <w:rsid w:val="00AD7C13"/>
    <w:rsid w:val="00AE05CE"/>
    <w:rsid w:val="00AE1658"/>
    <w:rsid w:val="00AE1905"/>
    <w:rsid w:val="00AE6B46"/>
    <w:rsid w:val="00AE7416"/>
    <w:rsid w:val="00AF0043"/>
    <w:rsid w:val="00AF2AF0"/>
    <w:rsid w:val="00AF31A6"/>
    <w:rsid w:val="00AF458E"/>
    <w:rsid w:val="00AF53C6"/>
    <w:rsid w:val="00AF6465"/>
    <w:rsid w:val="00B011A3"/>
    <w:rsid w:val="00B01B5F"/>
    <w:rsid w:val="00B02ED2"/>
    <w:rsid w:val="00B03060"/>
    <w:rsid w:val="00B038B1"/>
    <w:rsid w:val="00B03E45"/>
    <w:rsid w:val="00B0509A"/>
    <w:rsid w:val="00B0624C"/>
    <w:rsid w:val="00B0758C"/>
    <w:rsid w:val="00B11F93"/>
    <w:rsid w:val="00B13F7E"/>
    <w:rsid w:val="00B140B1"/>
    <w:rsid w:val="00B1476F"/>
    <w:rsid w:val="00B21B28"/>
    <w:rsid w:val="00B238AE"/>
    <w:rsid w:val="00B24325"/>
    <w:rsid w:val="00B25532"/>
    <w:rsid w:val="00B2676F"/>
    <w:rsid w:val="00B2682D"/>
    <w:rsid w:val="00B27513"/>
    <w:rsid w:val="00B30D87"/>
    <w:rsid w:val="00B31998"/>
    <w:rsid w:val="00B31B55"/>
    <w:rsid w:val="00B33162"/>
    <w:rsid w:val="00B33DCE"/>
    <w:rsid w:val="00B34090"/>
    <w:rsid w:val="00B3409E"/>
    <w:rsid w:val="00B3469D"/>
    <w:rsid w:val="00B34986"/>
    <w:rsid w:val="00B34ECA"/>
    <w:rsid w:val="00B3538B"/>
    <w:rsid w:val="00B3545D"/>
    <w:rsid w:val="00B359A2"/>
    <w:rsid w:val="00B3621C"/>
    <w:rsid w:val="00B37039"/>
    <w:rsid w:val="00B37A20"/>
    <w:rsid w:val="00B37C79"/>
    <w:rsid w:val="00B426A1"/>
    <w:rsid w:val="00B431FD"/>
    <w:rsid w:val="00B43BAD"/>
    <w:rsid w:val="00B45AF6"/>
    <w:rsid w:val="00B47CD9"/>
    <w:rsid w:val="00B50703"/>
    <w:rsid w:val="00B51020"/>
    <w:rsid w:val="00B51FC0"/>
    <w:rsid w:val="00B52B66"/>
    <w:rsid w:val="00B53567"/>
    <w:rsid w:val="00B564DF"/>
    <w:rsid w:val="00B60156"/>
    <w:rsid w:val="00B60A1B"/>
    <w:rsid w:val="00B625DB"/>
    <w:rsid w:val="00B62E9A"/>
    <w:rsid w:val="00B63D07"/>
    <w:rsid w:val="00B66E01"/>
    <w:rsid w:val="00B70D8E"/>
    <w:rsid w:val="00B71568"/>
    <w:rsid w:val="00B74A35"/>
    <w:rsid w:val="00B75109"/>
    <w:rsid w:val="00B754D7"/>
    <w:rsid w:val="00B75BEB"/>
    <w:rsid w:val="00B82474"/>
    <w:rsid w:val="00B847B0"/>
    <w:rsid w:val="00B85833"/>
    <w:rsid w:val="00B872FB"/>
    <w:rsid w:val="00B87771"/>
    <w:rsid w:val="00B87E43"/>
    <w:rsid w:val="00B9032E"/>
    <w:rsid w:val="00B92ABA"/>
    <w:rsid w:val="00B935E5"/>
    <w:rsid w:val="00B93902"/>
    <w:rsid w:val="00B96558"/>
    <w:rsid w:val="00B97B6C"/>
    <w:rsid w:val="00BA2993"/>
    <w:rsid w:val="00BA411B"/>
    <w:rsid w:val="00BA504D"/>
    <w:rsid w:val="00BB0A6E"/>
    <w:rsid w:val="00BB2189"/>
    <w:rsid w:val="00BB38B9"/>
    <w:rsid w:val="00BB675C"/>
    <w:rsid w:val="00BB6BED"/>
    <w:rsid w:val="00BC160F"/>
    <w:rsid w:val="00BC35D4"/>
    <w:rsid w:val="00BC3AAF"/>
    <w:rsid w:val="00BC4D33"/>
    <w:rsid w:val="00BC5BD5"/>
    <w:rsid w:val="00BC5E97"/>
    <w:rsid w:val="00BC659D"/>
    <w:rsid w:val="00BC6F79"/>
    <w:rsid w:val="00BC7B61"/>
    <w:rsid w:val="00BC7C31"/>
    <w:rsid w:val="00BD2902"/>
    <w:rsid w:val="00BD2D85"/>
    <w:rsid w:val="00BD3110"/>
    <w:rsid w:val="00BD5547"/>
    <w:rsid w:val="00BE03A4"/>
    <w:rsid w:val="00BE2134"/>
    <w:rsid w:val="00BE2EAE"/>
    <w:rsid w:val="00BE4699"/>
    <w:rsid w:val="00BE5A9B"/>
    <w:rsid w:val="00BF0600"/>
    <w:rsid w:val="00BF1AD1"/>
    <w:rsid w:val="00BF30AD"/>
    <w:rsid w:val="00BF31CC"/>
    <w:rsid w:val="00BF4A45"/>
    <w:rsid w:val="00BF4ECF"/>
    <w:rsid w:val="00BF5F66"/>
    <w:rsid w:val="00BF6B8C"/>
    <w:rsid w:val="00BF7217"/>
    <w:rsid w:val="00C004D5"/>
    <w:rsid w:val="00C0175F"/>
    <w:rsid w:val="00C01E23"/>
    <w:rsid w:val="00C05F52"/>
    <w:rsid w:val="00C06397"/>
    <w:rsid w:val="00C1094D"/>
    <w:rsid w:val="00C109B2"/>
    <w:rsid w:val="00C16F16"/>
    <w:rsid w:val="00C17A25"/>
    <w:rsid w:val="00C20D13"/>
    <w:rsid w:val="00C22DAB"/>
    <w:rsid w:val="00C22FFD"/>
    <w:rsid w:val="00C23212"/>
    <w:rsid w:val="00C239CA"/>
    <w:rsid w:val="00C23B25"/>
    <w:rsid w:val="00C23FD8"/>
    <w:rsid w:val="00C2525D"/>
    <w:rsid w:val="00C25BA9"/>
    <w:rsid w:val="00C26923"/>
    <w:rsid w:val="00C270FC"/>
    <w:rsid w:val="00C274EB"/>
    <w:rsid w:val="00C315F0"/>
    <w:rsid w:val="00C31647"/>
    <w:rsid w:val="00C31919"/>
    <w:rsid w:val="00C327CA"/>
    <w:rsid w:val="00C35284"/>
    <w:rsid w:val="00C3575C"/>
    <w:rsid w:val="00C3772F"/>
    <w:rsid w:val="00C378D3"/>
    <w:rsid w:val="00C41D99"/>
    <w:rsid w:val="00C41DBD"/>
    <w:rsid w:val="00C4377A"/>
    <w:rsid w:val="00C440F2"/>
    <w:rsid w:val="00C443B1"/>
    <w:rsid w:val="00C4544F"/>
    <w:rsid w:val="00C45474"/>
    <w:rsid w:val="00C46187"/>
    <w:rsid w:val="00C46735"/>
    <w:rsid w:val="00C47B73"/>
    <w:rsid w:val="00C502DA"/>
    <w:rsid w:val="00C506B4"/>
    <w:rsid w:val="00C50B51"/>
    <w:rsid w:val="00C52AC2"/>
    <w:rsid w:val="00C53BED"/>
    <w:rsid w:val="00C6166E"/>
    <w:rsid w:val="00C61987"/>
    <w:rsid w:val="00C623FB"/>
    <w:rsid w:val="00C63163"/>
    <w:rsid w:val="00C64F03"/>
    <w:rsid w:val="00C66A4A"/>
    <w:rsid w:val="00C70793"/>
    <w:rsid w:val="00C70DB4"/>
    <w:rsid w:val="00C74154"/>
    <w:rsid w:val="00C74C04"/>
    <w:rsid w:val="00C775B2"/>
    <w:rsid w:val="00C811EF"/>
    <w:rsid w:val="00C81A48"/>
    <w:rsid w:val="00C81CA3"/>
    <w:rsid w:val="00C8254A"/>
    <w:rsid w:val="00C82CB7"/>
    <w:rsid w:val="00C8469E"/>
    <w:rsid w:val="00C84F85"/>
    <w:rsid w:val="00C85374"/>
    <w:rsid w:val="00C90E54"/>
    <w:rsid w:val="00C95463"/>
    <w:rsid w:val="00C954BB"/>
    <w:rsid w:val="00CA0764"/>
    <w:rsid w:val="00CA132B"/>
    <w:rsid w:val="00CA2C0F"/>
    <w:rsid w:val="00CA37F0"/>
    <w:rsid w:val="00CA58CA"/>
    <w:rsid w:val="00CB0B86"/>
    <w:rsid w:val="00CB44A2"/>
    <w:rsid w:val="00CB5119"/>
    <w:rsid w:val="00CC0B45"/>
    <w:rsid w:val="00CC0C5D"/>
    <w:rsid w:val="00CC3132"/>
    <w:rsid w:val="00CC3A49"/>
    <w:rsid w:val="00CC4FEB"/>
    <w:rsid w:val="00CD042B"/>
    <w:rsid w:val="00CD30F6"/>
    <w:rsid w:val="00CD3311"/>
    <w:rsid w:val="00CD343E"/>
    <w:rsid w:val="00CD36A4"/>
    <w:rsid w:val="00CD38DE"/>
    <w:rsid w:val="00CD686C"/>
    <w:rsid w:val="00CE2D6D"/>
    <w:rsid w:val="00CE38ED"/>
    <w:rsid w:val="00CE3E8C"/>
    <w:rsid w:val="00CE4395"/>
    <w:rsid w:val="00CE545F"/>
    <w:rsid w:val="00CE7F30"/>
    <w:rsid w:val="00CF1056"/>
    <w:rsid w:val="00CF23D0"/>
    <w:rsid w:val="00CF2E31"/>
    <w:rsid w:val="00CF45D6"/>
    <w:rsid w:val="00CF6107"/>
    <w:rsid w:val="00CF74EB"/>
    <w:rsid w:val="00CF76FC"/>
    <w:rsid w:val="00D00298"/>
    <w:rsid w:val="00D00D0B"/>
    <w:rsid w:val="00D021BE"/>
    <w:rsid w:val="00D0243F"/>
    <w:rsid w:val="00D07488"/>
    <w:rsid w:val="00D10B6D"/>
    <w:rsid w:val="00D10ED1"/>
    <w:rsid w:val="00D17A23"/>
    <w:rsid w:val="00D17E80"/>
    <w:rsid w:val="00D20567"/>
    <w:rsid w:val="00D20982"/>
    <w:rsid w:val="00D21AEE"/>
    <w:rsid w:val="00D21C40"/>
    <w:rsid w:val="00D22349"/>
    <w:rsid w:val="00D22BF4"/>
    <w:rsid w:val="00D23D5A"/>
    <w:rsid w:val="00D25241"/>
    <w:rsid w:val="00D272EC"/>
    <w:rsid w:val="00D27D14"/>
    <w:rsid w:val="00D300D3"/>
    <w:rsid w:val="00D30EA5"/>
    <w:rsid w:val="00D31A55"/>
    <w:rsid w:val="00D33034"/>
    <w:rsid w:val="00D332F3"/>
    <w:rsid w:val="00D3782F"/>
    <w:rsid w:val="00D41148"/>
    <w:rsid w:val="00D413EE"/>
    <w:rsid w:val="00D42059"/>
    <w:rsid w:val="00D445AA"/>
    <w:rsid w:val="00D44691"/>
    <w:rsid w:val="00D45ED8"/>
    <w:rsid w:val="00D47D9E"/>
    <w:rsid w:val="00D528EE"/>
    <w:rsid w:val="00D5308D"/>
    <w:rsid w:val="00D55201"/>
    <w:rsid w:val="00D55ED7"/>
    <w:rsid w:val="00D60BF1"/>
    <w:rsid w:val="00D610BB"/>
    <w:rsid w:val="00D6285D"/>
    <w:rsid w:val="00D628E2"/>
    <w:rsid w:val="00D62AE7"/>
    <w:rsid w:val="00D63199"/>
    <w:rsid w:val="00D643D1"/>
    <w:rsid w:val="00D64D68"/>
    <w:rsid w:val="00D66A6A"/>
    <w:rsid w:val="00D67745"/>
    <w:rsid w:val="00D67C1A"/>
    <w:rsid w:val="00D7000B"/>
    <w:rsid w:val="00D7039D"/>
    <w:rsid w:val="00D72315"/>
    <w:rsid w:val="00D72668"/>
    <w:rsid w:val="00D7622E"/>
    <w:rsid w:val="00D7749C"/>
    <w:rsid w:val="00D8042A"/>
    <w:rsid w:val="00D8118A"/>
    <w:rsid w:val="00D8169C"/>
    <w:rsid w:val="00D821D5"/>
    <w:rsid w:val="00D826BE"/>
    <w:rsid w:val="00D82730"/>
    <w:rsid w:val="00D8291B"/>
    <w:rsid w:val="00D830DA"/>
    <w:rsid w:val="00D8437B"/>
    <w:rsid w:val="00D86BD0"/>
    <w:rsid w:val="00D91E92"/>
    <w:rsid w:val="00D924CA"/>
    <w:rsid w:val="00D924EE"/>
    <w:rsid w:val="00D92F8F"/>
    <w:rsid w:val="00D93525"/>
    <w:rsid w:val="00D94892"/>
    <w:rsid w:val="00D95229"/>
    <w:rsid w:val="00D95B4F"/>
    <w:rsid w:val="00DA326B"/>
    <w:rsid w:val="00DA510A"/>
    <w:rsid w:val="00DA6F7B"/>
    <w:rsid w:val="00DB0A22"/>
    <w:rsid w:val="00DB132E"/>
    <w:rsid w:val="00DB1FC5"/>
    <w:rsid w:val="00DB262F"/>
    <w:rsid w:val="00DB4424"/>
    <w:rsid w:val="00DB47C5"/>
    <w:rsid w:val="00DB55A5"/>
    <w:rsid w:val="00DB5C7E"/>
    <w:rsid w:val="00DB63B9"/>
    <w:rsid w:val="00DB6D42"/>
    <w:rsid w:val="00DB6DE1"/>
    <w:rsid w:val="00DB7C8C"/>
    <w:rsid w:val="00DC00AA"/>
    <w:rsid w:val="00DC308E"/>
    <w:rsid w:val="00DC33C8"/>
    <w:rsid w:val="00DC39BA"/>
    <w:rsid w:val="00DC60EE"/>
    <w:rsid w:val="00DD002C"/>
    <w:rsid w:val="00DD1720"/>
    <w:rsid w:val="00DD24B0"/>
    <w:rsid w:val="00DD4535"/>
    <w:rsid w:val="00DD4AF0"/>
    <w:rsid w:val="00DD4C86"/>
    <w:rsid w:val="00DD55D4"/>
    <w:rsid w:val="00DD6F55"/>
    <w:rsid w:val="00DD7038"/>
    <w:rsid w:val="00DE0817"/>
    <w:rsid w:val="00DE1897"/>
    <w:rsid w:val="00DE43A4"/>
    <w:rsid w:val="00DE529E"/>
    <w:rsid w:val="00DE6C28"/>
    <w:rsid w:val="00DE6D9F"/>
    <w:rsid w:val="00DE710D"/>
    <w:rsid w:val="00DE7986"/>
    <w:rsid w:val="00DF004D"/>
    <w:rsid w:val="00DF34C0"/>
    <w:rsid w:val="00DF4405"/>
    <w:rsid w:val="00DF5EE6"/>
    <w:rsid w:val="00DF6BBC"/>
    <w:rsid w:val="00DF7AAF"/>
    <w:rsid w:val="00E0031F"/>
    <w:rsid w:val="00E01C15"/>
    <w:rsid w:val="00E023D6"/>
    <w:rsid w:val="00E0378E"/>
    <w:rsid w:val="00E044FD"/>
    <w:rsid w:val="00E04EF1"/>
    <w:rsid w:val="00E0658F"/>
    <w:rsid w:val="00E0773A"/>
    <w:rsid w:val="00E07E58"/>
    <w:rsid w:val="00E11768"/>
    <w:rsid w:val="00E12A69"/>
    <w:rsid w:val="00E16BAC"/>
    <w:rsid w:val="00E20361"/>
    <w:rsid w:val="00E21F3C"/>
    <w:rsid w:val="00E23408"/>
    <w:rsid w:val="00E25739"/>
    <w:rsid w:val="00E27129"/>
    <w:rsid w:val="00E31A82"/>
    <w:rsid w:val="00E31C63"/>
    <w:rsid w:val="00E3305B"/>
    <w:rsid w:val="00E346FE"/>
    <w:rsid w:val="00E3530D"/>
    <w:rsid w:val="00E35452"/>
    <w:rsid w:val="00E356AF"/>
    <w:rsid w:val="00E35885"/>
    <w:rsid w:val="00E366DE"/>
    <w:rsid w:val="00E36C4A"/>
    <w:rsid w:val="00E3702E"/>
    <w:rsid w:val="00E379D9"/>
    <w:rsid w:val="00E4381B"/>
    <w:rsid w:val="00E462CD"/>
    <w:rsid w:val="00E4636F"/>
    <w:rsid w:val="00E4783E"/>
    <w:rsid w:val="00E51A7C"/>
    <w:rsid w:val="00E529D1"/>
    <w:rsid w:val="00E533D4"/>
    <w:rsid w:val="00E5347E"/>
    <w:rsid w:val="00E5620B"/>
    <w:rsid w:val="00E56B59"/>
    <w:rsid w:val="00E5768E"/>
    <w:rsid w:val="00E57CF1"/>
    <w:rsid w:val="00E57DE7"/>
    <w:rsid w:val="00E57FF0"/>
    <w:rsid w:val="00E644EA"/>
    <w:rsid w:val="00E667DC"/>
    <w:rsid w:val="00E7067E"/>
    <w:rsid w:val="00E71B99"/>
    <w:rsid w:val="00E73420"/>
    <w:rsid w:val="00E746EC"/>
    <w:rsid w:val="00E75824"/>
    <w:rsid w:val="00E76F32"/>
    <w:rsid w:val="00E77A59"/>
    <w:rsid w:val="00E8060D"/>
    <w:rsid w:val="00E82B4B"/>
    <w:rsid w:val="00E83C6E"/>
    <w:rsid w:val="00E83E4A"/>
    <w:rsid w:val="00E859B4"/>
    <w:rsid w:val="00E8612C"/>
    <w:rsid w:val="00E86EDE"/>
    <w:rsid w:val="00E90916"/>
    <w:rsid w:val="00E9176C"/>
    <w:rsid w:val="00E9224A"/>
    <w:rsid w:val="00E93266"/>
    <w:rsid w:val="00E9387F"/>
    <w:rsid w:val="00E95696"/>
    <w:rsid w:val="00E96E1D"/>
    <w:rsid w:val="00E9762B"/>
    <w:rsid w:val="00E97E2D"/>
    <w:rsid w:val="00EA0776"/>
    <w:rsid w:val="00EA4A00"/>
    <w:rsid w:val="00EA4D30"/>
    <w:rsid w:val="00EA6685"/>
    <w:rsid w:val="00EA6D4C"/>
    <w:rsid w:val="00EA7A16"/>
    <w:rsid w:val="00EB0630"/>
    <w:rsid w:val="00EB201A"/>
    <w:rsid w:val="00EB42C0"/>
    <w:rsid w:val="00EB4CFB"/>
    <w:rsid w:val="00EB5BC9"/>
    <w:rsid w:val="00EB6974"/>
    <w:rsid w:val="00EB7FEB"/>
    <w:rsid w:val="00EC0DDC"/>
    <w:rsid w:val="00EC1755"/>
    <w:rsid w:val="00EC2D27"/>
    <w:rsid w:val="00EC3103"/>
    <w:rsid w:val="00EC7249"/>
    <w:rsid w:val="00EC78E0"/>
    <w:rsid w:val="00EC798A"/>
    <w:rsid w:val="00ED2E28"/>
    <w:rsid w:val="00ED3B87"/>
    <w:rsid w:val="00ED4DCE"/>
    <w:rsid w:val="00ED65E0"/>
    <w:rsid w:val="00ED6AF6"/>
    <w:rsid w:val="00ED73D2"/>
    <w:rsid w:val="00ED7783"/>
    <w:rsid w:val="00EE37F7"/>
    <w:rsid w:val="00EE7FAD"/>
    <w:rsid w:val="00EF273D"/>
    <w:rsid w:val="00EF47BA"/>
    <w:rsid w:val="00EF51C6"/>
    <w:rsid w:val="00EF5825"/>
    <w:rsid w:val="00EF6FB6"/>
    <w:rsid w:val="00EF7561"/>
    <w:rsid w:val="00F00102"/>
    <w:rsid w:val="00F009C2"/>
    <w:rsid w:val="00F009F2"/>
    <w:rsid w:val="00F01849"/>
    <w:rsid w:val="00F018B7"/>
    <w:rsid w:val="00F03597"/>
    <w:rsid w:val="00F03810"/>
    <w:rsid w:val="00F049BD"/>
    <w:rsid w:val="00F05136"/>
    <w:rsid w:val="00F067ED"/>
    <w:rsid w:val="00F078C6"/>
    <w:rsid w:val="00F1144D"/>
    <w:rsid w:val="00F11BD8"/>
    <w:rsid w:val="00F11C05"/>
    <w:rsid w:val="00F1704D"/>
    <w:rsid w:val="00F1744E"/>
    <w:rsid w:val="00F20C5D"/>
    <w:rsid w:val="00F228B4"/>
    <w:rsid w:val="00F23D66"/>
    <w:rsid w:val="00F23D88"/>
    <w:rsid w:val="00F24519"/>
    <w:rsid w:val="00F2464E"/>
    <w:rsid w:val="00F2477D"/>
    <w:rsid w:val="00F255AB"/>
    <w:rsid w:val="00F33B39"/>
    <w:rsid w:val="00F342A0"/>
    <w:rsid w:val="00F347B3"/>
    <w:rsid w:val="00F34E59"/>
    <w:rsid w:val="00F37E7A"/>
    <w:rsid w:val="00F4499D"/>
    <w:rsid w:val="00F45AAF"/>
    <w:rsid w:val="00F47595"/>
    <w:rsid w:val="00F50C93"/>
    <w:rsid w:val="00F5117D"/>
    <w:rsid w:val="00F51FFF"/>
    <w:rsid w:val="00F52264"/>
    <w:rsid w:val="00F5260E"/>
    <w:rsid w:val="00F635D2"/>
    <w:rsid w:val="00F64EFD"/>
    <w:rsid w:val="00F655AF"/>
    <w:rsid w:val="00F661FE"/>
    <w:rsid w:val="00F70EAF"/>
    <w:rsid w:val="00F714B6"/>
    <w:rsid w:val="00F7309A"/>
    <w:rsid w:val="00F73874"/>
    <w:rsid w:val="00F8035D"/>
    <w:rsid w:val="00F81C21"/>
    <w:rsid w:val="00F84733"/>
    <w:rsid w:val="00F903CF"/>
    <w:rsid w:val="00F94CE5"/>
    <w:rsid w:val="00F94DB4"/>
    <w:rsid w:val="00F962D0"/>
    <w:rsid w:val="00FA2E16"/>
    <w:rsid w:val="00FA3801"/>
    <w:rsid w:val="00FA3CC9"/>
    <w:rsid w:val="00FA49C4"/>
    <w:rsid w:val="00FA6FB3"/>
    <w:rsid w:val="00FA7BD1"/>
    <w:rsid w:val="00FB0257"/>
    <w:rsid w:val="00FB412E"/>
    <w:rsid w:val="00FB5563"/>
    <w:rsid w:val="00FB5CBC"/>
    <w:rsid w:val="00FB6DB7"/>
    <w:rsid w:val="00FB7C54"/>
    <w:rsid w:val="00FC00A6"/>
    <w:rsid w:val="00FC26D3"/>
    <w:rsid w:val="00FC2AF5"/>
    <w:rsid w:val="00FC3220"/>
    <w:rsid w:val="00FC7A63"/>
    <w:rsid w:val="00FD202B"/>
    <w:rsid w:val="00FD2A2F"/>
    <w:rsid w:val="00FD3A9B"/>
    <w:rsid w:val="00FD574C"/>
    <w:rsid w:val="00FD60E7"/>
    <w:rsid w:val="00FE01E3"/>
    <w:rsid w:val="00FE1C01"/>
    <w:rsid w:val="00FE2FC3"/>
    <w:rsid w:val="00FE63F6"/>
    <w:rsid w:val="00FE7A14"/>
    <w:rsid w:val="00FE7D70"/>
    <w:rsid w:val="00FF062C"/>
    <w:rsid w:val="00FF12C2"/>
    <w:rsid w:val="00FF1D12"/>
    <w:rsid w:val="00FF313C"/>
    <w:rsid w:val="00FF4F4A"/>
    <w:rsid w:val="00FF661E"/>
    <w:rsid w:val="00FF6C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9DA8E0-C63F-4F61-A267-D37958A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5C"/>
    <w:pPr>
      <w:spacing w:after="160" w:line="276" w:lineRule="auto"/>
      <w:jc w:val="both"/>
    </w:pPr>
    <w:rPr>
      <w:sz w:val="24"/>
      <w:lang w:eastAsia="en-US"/>
    </w:rPr>
  </w:style>
  <w:style w:type="paragraph" w:styleId="Ttulo1">
    <w:name w:val="heading 1"/>
    <w:basedOn w:val="Normal"/>
    <w:next w:val="Normal"/>
    <w:link w:val="Ttulo1Car"/>
    <w:uiPriority w:val="99"/>
    <w:qFormat/>
    <w:rsid w:val="00BF4A45"/>
    <w:pPr>
      <w:keepNext/>
      <w:keepLines/>
      <w:spacing w:before="480" w:after="0"/>
      <w:outlineLvl w:val="0"/>
    </w:pPr>
    <w:rPr>
      <w:rFonts w:eastAsia="Times New Roman"/>
      <w:b/>
      <w:bCs/>
      <w:color w:val="861D31"/>
      <w:sz w:val="28"/>
      <w:szCs w:val="28"/>
    </w:rPr>
  </w:style>
  <w:style w:type="paragraph" w:styleId="Ttulo2">
    <w:name w:val="heading 2"/>
    <w:basedOn w:val="Normal"/>
    <w:next w:val="Normal"/>
    <w:link w:val="Ttulo2Car"/>
    <w:uiPriority w:val="99"/>
    <w:qFormat/>
    <w:rsid w:val="007D1A0F"/>
    <w:pPr>
      <w:keepNext/>
      <w:keepLines/>
      <w:spacing w:before="200" w:after="0"/>
      <w:outlineLvl w:val="1"/>
    </w:pPr>
    <w:rPr>
      <w:rFonts w:eastAsia="Times New Roman"/>
      <w:b/>
      <w:bCs/>
      <w:sz w:val="26"/>
      <w:szCs w:val="26"/>
    </w:rPr>
  </w:style>
  <w:style w:type="paragraph" w:styleId="Ttulo3">
    <w:name w:val="heading 3"/>
    <w:basedOn w:val="Normal"/>
    <w:next w:val="Normal"/>
    <w:link w:val="Ttulo3Car"/>
    <w:uiPriority w:val="99"/>
    <w:qFormat/>
    <w:rsid w:val="007D1A0F"/>
    <w:pPr>
      <w:keepNext/>
      <w:keepLines/>
      <w:spacing w:before="200" w:after="0"/>
      <w:outlineLvl w:val="2"/>
    </w:pPr>
    <w:rPr>
      <w:rFonts w:eastAsia="Times New Roman"/>
      <w:b/>
      <w:bCs/>
      <w:color w:val="262626"/>
    </w:rPr>
  </w:style>
  <w:style w:type="paragraph" w:styleId="Ttulo4">
    <w:name w:val="heading 4"/>
    <w:basedOn w:val="Normal"/>
    <w:next w:val="Normal"/>
    <w:link w:val="Ttulo4Car"/>
    <w:uiPriority w:val="99"/>
    <w:qFormat/>
    <w:rsid w:val="005F3076"/>
    <w:pPr>
      <w:keepNext/>
      <w:keepLines/>
      <w:spacing w:before="200" w:after="0"/>
      <w:outlineLvl w:val="3"/>
    </w:pPr>
    <w:rPr>
      <w:rFonts w:ascii="Calibri Light" w:eastAsia="Times New Roman" w:hAnsi="Calibri Light"/>
      <w:b/>
      <w:bCs/>
      <w:i/>
      <w:iCs/>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F4A45"/>
    <w:rPr>
      <w:rFonts w:ascii="Calibri" w:hAnsi="Calibri" w:cs="Times New Roman"/>
      <w:b/>
      <w:bCs/>
      <w:color w:val="861D31"/>
      <w:sz w:val="28"/>
      <w:szCs w:val="28"/>
    </w:rPr>
  </w:style>
  <w:style w:type="character" w:customStyle="1" w:styleId="Ttulo2Car">
    <w:name w:val="Título 2 Car"/>
    <w:basedOn w:val="Fuentedeprrafopredeter"/>
    <w:link w:val="Ttulo2"/>
    <w:uiPriority w:val="99"/>
    <w:locked/>
    <w:rsid w:val="007D1A0F"/>
    <w:rPr>
      <w:rFonts w:ascii="Calibri" w:hAnsi="Calibri" w:cs="Times New Roman"/>
      <w:b/>
      <w:bCs/>
      <w:sz w:val="26"/>
      <w:szCs w:val="26"/>
    </w:rPr>
  </w:style>
  <w:style w:type="character" w:customStyle="1" w:styleId="Ttulo3Car">
    <w:name w:val="Título 3 Car"/>
    <w:basedOn w:val="Fuentedeprrafopredeter"/>
    <w:link w:val="Ttulo3"/>
    <w:uiPriority w:val="99"/>
    <w:locked/>
    <w:rsid w:val="007D1A0F"/>
    <w:rPr>
      <w:rFonts w:ascii="Calibri" w:hAnsi="Calibri" w:cs="Times New Roman"/>
      <w:b/>
      <w:bCs/>
      <w:color w:val="262626"/>
      <w:sz w:val="24"/>
    </w:rPr>
  </w:style>
  <w:style w:type="character" w:customStyle="1" w:styleId="Ttulo4Car">
    <w:name w:val="Título 4 Car"/>
    <w:basedOn w:val="Fuentedeprrafopredeter"/>
    <w:link w:val="Ttulo4"/>
    <w:uiPriority w:val="99"/>
    <w:locked/>
    <w:rsid w:val="005F3076"/>
    <w:rPr>
      <w:rFonts w:ascii="Calibri Light" w:hAnsi="Calibri Light" w:cs="Times New Roman"/>
      <w:b/>
      <w:bCs/>
      <w:i/>
      <w:iCs/>
      <w:color w:val="5B9BD5"/>
    </w:rPr>
  </w:style>
  <w:style w:type="paragraph" w:styleId="Prrafodelista">
    <w:name w:val="List Paragraph"/>
    <w:basedOn w:val="Normal"/>
    <w:uiPriority w:val="34"/>
    <w:qFormat/>
    <w:rsid w:val="006A470B"/>
    <w:pPr>
      <w:ind w:left="720"/>
      <w:contextualSpacing/>
    </w:pPr>
  </w:style>
  <w:style w:type="paragraph" w:styleId="Textodeglobo">
    <w:name w:val="Balloon Text"/>
    <w:basedOn w:val="Normal"/>
    <w:link w:val="TextodegloboCar"/>
    <w:semiHidden/>
    <w:rsid w:val="00DE6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6C28"/>
    <w:rPr>
      <w:rFonts w:ascii="Tahoma" w:hAnsi="Tahoma" w:cs="Tahoma"/>
      <w:sz w:val="16"/>
      <w:szCs w:val="16"/>
    </w:rPr>
  </w:style>
  <w:style w:type="character" w:styleId="Hipervnculo">
    <w:name w:val="Hyperlink"/>
    <w:basedOn w:val="Fuentedeprrafopredeter"/>
    <w:uiPriority w:val="99"/>
    <w:rsid w:val="00560875"/>
    <w:rPr>
      <w:rFonts w:cs="Times New Roman"/>
      <w:color w:val="0563C1"/>
      <w:u w:val="single"/>
    </w:rPr>
  </w:style>
  <w:style w:type="character" w:styleId="nfasis">
    <w:name w:val="Emphasis"/>
    <w:basedOn w:val="Fuentedeprrafopredeter"/>
    <w:qFormat/>
    <w:rsid w:val="00D924EE"/>
  </w:style>
  <w:style w:type="paragraph" w:customStyle="1" w:styleId="Texto">
    <w:name w:val="Texto"/>
    <w:basedOn w:val="Normal"/>
    <w:link w:val="TextoCar"/>
    <w:qFormat/>
    <w:rsid w:val="002A4CF6"/>
    <w:pPr>
      <w:spacing w:after="101" w:line="216" w:lineRule="exact"/>
      <w:ind w:firstLine="288"/>
    </w:pPr>
    <w:rPr>
      <w:rFonts w:ascii="Arial" w:eastAsia="Times New Roman" w:hAnsi="Arial"/>
      <w:sz w:val="18"/>
      <w:szCs w:val="20"/>
      <w:lang w:val="es-ES" w:eastAsia="es-ES"/>
    </w:rPr>
  </w:style>
  <w:style w:type="paragraph" w:customStyle="1" w:styleId="Default">
    <w:name w:val="Default"/>
    <w:rsid w:val="0055712A"/>
    <w:pPr>
      <w:autoSpaceDE w:val="0"/>
      <w:autoSpaceDN w:val="0"/>
      <w:adjustRightInd w:val="0"/>
    </w:pPr>
    <w:rPr>
      <w:rFonts w:ascii="Arial" w:eastAsia="Times New Roman" w:hAnsi="Arial" w:cs="Arial"/>
      <w:color w:val="000000"/>
      <w:sz w:val="24"/>
      <w:szCs w:val="24"/>
    </w:rPr>
  </w:style>
  <w:style w:type="character" w:customStyle="1" w:styleId="TextoCar">
    <w:name w:val="Texto Car"/>
    <w:link w:val="Texto"/>
    <w:uiPriority w:val="99"/>
    <w:locked/>
    <w:rsid w:val="001461B3"/>
    <w:rPr>
      <w:rFonts w:ascii="Arial" w:hAnsi="Arial"/>
      <w:sz w:val="20"/>
      <w:lang w:val="es-ES" w:eastAsia="es-ES"/>
    </w:rPr>
  </w:style>
  <w:style w:type="paragraph" w:styleId="Textoindependiente3">
    <w:name w:val="Body Text 3"/>
    <w:basedOn w:val="Normal"/>
    <w:link w:val="Textoindependiente3Car"/>
    <w:rsid w:val="00623286"/>
    <w:pPr>
      <w:spacing w:after="0" w:line="240" w:lineRule="auto"/>
    </w:pPr>
    <w:rPr>
      <w:rFonts w:ascii="Arial" w:eastAsia="Times New Roman" w:hAnsi="Arial" w:cs="Arial"/>
      <w:szCs w:val="24"/>
      <w:lang w:val="es-ES" w:eastAsia="es-ES"/>
    </w:rPr>
  </w:style>
  <w:style w:type="character" w:customStyle="1" w:styleId="Textoindependiente3Car">
    <w:name w:val="Texto independiente 3 Car"/>
    <w:basedOn w:val="Fuentedeprrafopredeter"/>
    <w:link w:val="Textoindependiente3"/>
    <w:uiPriority w:val="99"/>
    <w:locked/>
    <w:rsid w:val="00623286"/>
    <w:rPr>
      <w:rFonts w:ascii="Arial" w:hAnsi="Arial" w:cs="Arial"/>
      <w:sz w:val="24"/>
      <w:szCs w:val="24"/>
      <w:lang w:val="es-ES" w:eastAsia="es-ES"/>
    </w:rPr>
  </w:style>
  <w:style w:type="table" w:styleId="Tablaconcuadrcula">
    <w:name w:val="Table Grid"/>
    <w:basedOn w:val="Tablanormal"/>
    <w:rsid w:val="00B35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C7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6C72E0"/>
    <w:rPr>
      <w:rFonts w:cs="Times New Roman"/>
    </w:rPr>
  </w:style>
  <w:style w:type="paragraph" w:styleId="Piedepgina">
    <w:name w:val="footer"/>
    <w:basedOn w:val="Normal"/>
    <w:link w:val="PiedepginaCar"/>
    <w:rsid w:val="006C7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C72E0"/>
    <w:rPr>
      <w:rFonts w:cs="Times New Roman"/>
    </w:rPr>
  </w:style>
  <w:style w:type="character" w:styleId="Nmerodepgina">
    <w:name w:val="page number"/>
    <w:basedOn w:val="Fuentedeprrafopredeter"/>
    <w:rsid w:val="004957E8"/>
    <w:rPr>
      <w:rFonts w:cs="Times New Roman"/>
    </w:rPr>
  </w:style>
  <w:style w:type="character" w:styleId="Refdecomentario">
    <w:name w:val="annotation reference"/>
    <w:basedOn w:val="Fuentedeprrafopredeter"/>
    <w:rsid w:val="004957E8"/>
    <w:rPr>
      <w:rFonts w:cs="Times New Roman"/>
      <w:sz w:val="16"/>
    </w:rPr>
  </w:style>
  <w:style w:type="paragraph" w:styleId="Textocomentario">
    <w:name w:val="annotation text"/>
    <w:basedOn w:val="Normal"/>
    <w:link w:val="TextocomentarioCar"/>
    <w:rsid w:val="004957E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locked/>
    <w:rsid w:val="004957E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4957E8"/>
    <w:rPr>
      <w:b/>
      <w:bCs/>
    </w:rPr>
  </w:style>
  <w:style w:type="character" w:customStyle="1" w:styleId="AsuntodelcomentarioCar">
    <w:name w:val="Asunto del comentario Car"/>
    <w:basedOn w:val="TextocomentarioCar"/>
    <w:link w:val="Asuntodelcomentario"/>
    <w:locked/>
    <w:rsid w:val="004957E8"/>
    <w:rPr>
      <w:rFonts w:ascii="Times New Roman" w:hAnsi="Times New Roman" w:cs="Times New Roman"/>
      <w:b/>
      <w:bCs/>
      <w:sz w:val="20"/>
      <w:szCs w:val="20"/>
      <w:lang w:val="es-ES" w:eastAsia="es-ES"/>
    </w:rPr>
  </w:style>
  <w:style w:type="paragraph" w:styleId="TtuloTDC">
    <w:name w:val="TOC Heading"/>
    <w:basedOn w:val="Ttulo1"/>
    <w:next w:val="Normal"/>
    <w:uiPriority w:val="39"/>
    <w:qFormat/>
    <w:rsid w:val="005F3076"/>
    <w:pPr>
      <w:jc w:val="left"/>
      <w:outlineLvl w:val="9"/>
    </w:pPr>
    <w:rPr>
      <w:rFonts w:ascii="Calibri Light" w:hAnsi="Calibri Light"/>
      <w:color w:val="2E74B5"/>
      <w:lang w:val="es-ES"/>
    </w:rPr>
  </w:style>
  <w:style w:type="paragraph" w:styleId="TDC1">
    <w:name w:val="toc 1"/>
    <w:basedOn w:val="Normal"/>
    <w:next w:val="Normal"/>
    <w:autoRedefine/>
    <w:uiPriority w:val="39"/>
    <w:rsid w:val="00BD2902"/>
    <w:pPr>
      <w:tabs>
        <w:tab w:val="right" w:leader="dot" w:pos="8828"/>
      </w:tabs>
      <w:spacing w:after="100"/>
    </w:pPr>
    <w:rPr>
      <w:b/>
      <w:noProof/>
    </w:rPr>
  </w:style>
  <w:style w:type="paragraph" w:styleId="TDC2">
    <w:name w:val="toc 2"/>
    <w:basedOn w:val="Normal"/>
    <w:next w:val="Normal"/>
    <w:autoRedefine/>
    <w:uiPriority w:val="39"/>
    <w:rsid w:val="00433FDC"/>
    <w:pPr>
      <w:tabs>
        <w:tab w:val="right" w:leader="dot" w:pos="8828"/>
      </w:tabs>
      <w:spacing w:after="100"/>
      <w:ind w:left="220"/>
    </w:pPr>
    <w:rPr>
      <w:b/>
      <w:noProof/>
    </w:rPr>
  </w:style>
  <w:style w:type="paragraph" w:styleId="TDC3">
    <w:name w:val="toc 3"/>
    <w:basedOn w:val="Normal"/>
    <w:next w:val="Normal"/>
    <w:autoRedefine/>
    <w:uiPriority w:val="39"/>
    <w:rsid w:val="005F3076"/>
    <w:pPr>
      <w:spacing w:after="100"/>
      <w:ind w:left="440"/>
    </w:pPr>
  </w:style>
  <w:style w:type="paragraph" w:styleId="Subttulo">
    <w:name w:val="Subtitle"/>
    <w:basedOn w:val="Normal"/>
    <w:next w:val="Normal"/>
    <w:link w:val="SubttuloCar"/>
    <w:qFormat/>
    <w:locked/>
    <w:rsid w:val="00C3575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C3575C"/>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unhideWhenUsed/>
    <w:rsid w:val="00D924EE"/>
    <w:pPr>
      <w:spacing w:before="100" w:beforeAutospacing="1" w:after="100" w:afterAutospacing="1" w:line="240" w:lineRule="auto"/>
      <w:jc w:val="left"/>
    </w:pPr>
    <w:rPr>
      <w:rFonts w:ascii="Times New Roman" w:eastAsia="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582">
      <w:bodyDiv w:val="1"/>
      <w:marLeft w:val="0"/>
      <w:marRight w:val="0"/>
      <w:marTop w:val="0"/>
      <w:marBottom w:val="0"/>
      <w:divBdr>
        <w:top w:val="none" w:sz="0" w:space="0" w:color="auto"/>
        <w:left w:val="none" w:sz="0" w:space="0" w:color="auto"/>
        <w:bottom w:val="none" w:sz="0" w:space="0" w:color="auto"/>
        <w:right w:val="none" w:sz="0" w:space="0" w:color="auto"/>
      </w:divBdr>
    </w:div>
    <w:div w:id="81493251">
      <w:bodyDiv w:val="1"/>
      <w:marLeft w:val="0"/>
      <w:marRight w:val="0"/>
      <w:marTop w:val="0"/>
      <w:marBottom w:val="0"/>
      <w:divBdr>
        <w:top w:val="none" w:sz="0" w:space="0" w:color="auto"/>
        <w:left w:val="none" w:sz="0" w:space="0" w:color="auto"/>
        <w:bottom w:val="none" w:sz="0" w:space="0" w:color="auto"/>
        <w:right w:val="none" w:sz="0" w:space="0" w:color="auto"/>
      </w:divBdr>
    </w:div>
    <w:div w:id="106894110">
      <w:bodyDiv w:val="1"/>
      <w:marLeft w:val="0"/>
      <w:marRight w:val="0"/>
      <w:marTop w:val="0"/>
      <w:marBottom w:val="0"/>
      <w:divBdr>
        <w:top w:val="none" w:sz="0" w:space="0" w:color="auto"/>
        <w:left w:val="none" w:sz="0" w:space="0" w:color="auto"/>
        <w:bottom w:val="none" w:sz="0" w:space="0" w:color="auto"/>
        <w:right w:val="none" w:sz="0" w:space="0" w:color="auto"/>
      </w:divBdr>
    </w:div>
    <w:div w:id="135026172">
      <w:bodyDiv w:val="1"/>
      <w:marLeft w:val="0"/>
      <w:marRight w:val="0"/>
      <w:marTop w:val="0"/>
      <w:marBottom w:val="0"/>
      <w:divBdr>
        <w:top w:val="none" w:sz="0" w:space="0" w:color="auto"/>
        <w:left w:val="none" w:sz="0" w:space="0" w:color="auto"/>
        <w:bottom w:val="none" w:sz="0" w:space="0" w:color="auto"/>
        <w:right w:val="none" w:sz="0" w:space="0" w:color="auto"/>
      </w:divBdr>
    </w:div>
    <w:div w:id="138423393">
      <w:bodyDiv w:val="1"/>
      <w:marLeft w:val="0"/>
      <w:marRight w:val="0"/>
      <w:marTop w:val="0"/>
      <w:marBottom w:val="0"/>
      <w:divBdr>
        <w:top w:val="none" w:sz="0" w:space="0" w:color="auto"/>
        <w:left w:val="none" w:sz="0" w:space="0" w:color="auto"/>
        <w:bottom w:val="none" w:sz="0" w:space="0" w:color="auto"/>
        <w:right w:val="none" w:sz="0" w:space="0" w:color="auto"/>
      </w:divBdr>
    </w:div>
    <w:div w:id="167448044">
      <w:bodyDiv w:val="1"/>
      <w:marLeft w:val="0"/>
      <w:marRight w:val="0"/>
      <w:marTop w:val="0"/>
      <w:marBottom w:val="0"/>
      <w:divBdr>
        <w:top w:val="none" w:sz="0" w:space="0" w:color="auto"/>
        <w:left w:val="none" w:sz="0" w:space="0" w:color="auto"/>
        <w:bottom w:val="none" w:sz="0" w:space="0" w:color="auto"/>
        <w:right w:val="none" w:sz="0" w:space="0" w:color="auto"/>
      </w:divBdr>
    </w:div>
    <w:div w:id="180315869">
      <w:bodyDiv w:val="1"/>
      <w:marLeft w:val="0"/>
      <w:marRight w:val="0"/>
      <w:marTop w:val="0"/>
      <w:marBottom w:val="0"/>
      <w:divBdr>
        <w:top w:val="none" w:sz="0" w:space="0" w:color="auto"/>
        <w:left w:val="none" w:sz="0" w:space="0" w:color="auto"/>
        <w:bottom w:val="none" w:sz="0" w:space="0" w:color="auto"/>
        <w:right w:val="none" w:sz="0" w:space="0" w:color="auto"/>
      </w:divBdr>
    </w:div>
    <w:div w:id="206261241">
      <w:bodyDiv w:val="1"/>
      <w:marLeft w:val="0"/>
      <w:marRight w:val="0"/>
      <w:marTop w:val="0"/>
      <w:marBottom w:val="0"/>
      <w:divBdr>
        <w:top w:val="none" w:sz="0" w:space="0" w:color="auto"/>
        <w:left w:val="none" w:sz="0" w:space="0" w:color="auto"/>
        <w:bottom w:val="none" w:sz="0" w:space="0" w:color="auto"/>
        <w:right w:val="none" w:sz="0" w:space="0" w:color="auto"/>
      </w:divBdr>
    </w:div>
    <w:div w:id="247664087">
      <w:bodyDiv w:val="1"/>
      <w:marLeft w:val="0"/>
      <w:marRight w:val="0"/>
      <w:marTop w:val="0"/>
      <w:marBottom w:val="0"/>
      <w:divBdr>
        <w:top w:val="none" w:sz="0" w:space="0" w:color="auto"/>
        <w:left w:val="none" w:sz="0" w:space="0" w:color="auto"/>
        <w:bottom w:val="none" w:sz="0" w:space="0" w:color="auto"/>
        <w:right w:val="none" w:sz="0" w:space="0" w:color="auto"/>
      </w:divBdr>
    </w:div>
    <w:div w:id="251821308">
      <w:bodyDiv w:val="1"/>
      <w:marLeft w:val="0"/>
      <w:marRight w:val="0"/>
      <w:marTop w:val="0"/>
      <w:marBottom w:val="0"/>
      <w:divBdr>
        <w:top w:val="none" w:sz="0" w:space="0" w:color="auto"/>
        <w:left w:val="none" w:sz="0" w:space="0" w:color="auto"/>
        <w:bottom w:val="none" w:sz="0" w:space="0" w:color="auto"/>
        <w:right w:val="none" w:sz="0" w:space="0" w:color="auto"/>
      </w:divBdr>
    </w:div>
    <w:div w:id="282729995">
      <w:bodyDiv w:val="1"/>
      <w:marLeft w:val="0"/>
      <w:marRight w:val="0"/>
      <w:marTop w:val="0"/>
      <w:marBottom w:val="0"/>
      <w:divBdr>
        <w:top w:val="none" w:sz="0" w:space="0" w:color="auto"/>
        <w:left w:val="none" w:sz="0" w:space="0" w:color="auto"/>
        <w:bottom w:val="none" w:sz="0" w:space="0" w:color="auto"/>
        <w:right w:val="none" w:sz="0" w:space="0" w:color="auto"/>
      </w:divBdr>
    </w:div>
    <w:div w:id="364409119">
      <w:bodyDiv w:val="1"/>
      <w:marLeft w:val="0"/>
      <w:marRight w:val="0"/>
      <w:marTop w:val="0"/>
      <w:marBottom w:val="0"/>
      <w:divBdr>
        <w:top w:val="none" w:sz="0" w:space="0" w:color="auto"/>
        <w:left w:val="none" w:sz="0" w:space="0" w:color="auto"/>
        <w:bottom w:val="none" w:sz="0" w:space="0" w:color="auto"/>
        <w:right w:val="none" w:sz="0" w:space="0" w:color="auto"/>
      </w:divBdr>
    </w:div>
    <w:div w:id="390274350">
      <w:bodyDiv w:val="1"/>
      <w:marLeft w:val="0"/>
      <w:marRight w:val="0"/>
      <w:marTop w:val="0"/>
      <w:marBottom w:val="0"/>
      <w:divBdr>
        <w:top w:val="none" w:sz="0" w:space="0" w:color="auto"/>
        <w:left w:val="none" w:sz="0" w:space="0" w:color="auto"/>
        <w:bottom w:val="none" w:sz="0" w:space="0" w:color="auto"/>
        <w:right w:val="none" w:sz="0" w:space="0" w:color="auto"/>
      </w:divBdr>
    </w:div>
    <w:div w:id="481508428">
      <w:bodyDiv w:val="1"/>
      <w:marLeft w:val="0"/>
      <w:marRight w:val="0"/>
      <w:marTop w:val="0"/>
      <w:marBottom w:val="0"/>
      <w:divBdr>
        <w:top w:val="none" w:sz="0" w:space="0" w:color="auto"/>
        <w:left w:val="none" w:sz="0" w:space="0" w:color="auto"/>
        <w:bottom w:val="none" w:sz="0" w:space="0" w:color="auto"/>
        <w:right w:val="none" w:sz="0" w:space="0" w:color="auto"/>
      </w:divBdr>
    </w:div>
    <w:div w:id="522550103">
      <w:bodyDiv w:val="1"/>
      <w:marLeft w:val="0"/>
      <w:marRight w:val="0"/>
      <w:marTop w:val="0"/>
      <w:marBottom w:val="0"/>
      <w:divBdr>
        <w:top w:val="none" w:sz="0" w:space="0" w:color="auto"/>
        <w:left w:val="none" w:sz="0" w:space="0" w:color="auto"/>
        <w:bottom w:val="none" w:sz="0" w:space="0" w:color="auto"/>
        <w:right w:val="none" w:sz="0" w:space="0" w:color="auto"/>
      </w:divBdr>
    </w:div>
    <w:div w:id="538275067">
      <w:bodyDiv w:val="1"/>
      <w:marLeft w:val="0"/>
      <w:marRight w:val="0"/>
      <w:marTop w:val="0"/>
      <w:marBottom w:val="0"/>
      <w:divBdr>
        <w:top w:val="none" w:sz="0" w:space="0" w:color="auto"/>
        <w:left w:val="none" w:sz="0" w:space="0" w:color="auto"/>
        <w:bottom w:val="none" w:sz="0" w:space="0" w:color="auto"/>
        <w:right w:val="none" w:sz="0" w:space="0" w:color="auto"/>
      </w:divBdr>
    </w:div>
    <w:div w:id="560750873">
      <w:bodyDiv w:val="1"/>
      <w:marLeft w:val="0"/>
      <w:marRight w:val="0"/>
      <w:marTop w:val="0"/>
      <w:marBottom w:val="0"/>
      <w:divBdr>
        <w:top w:val="none" w:sz="0" w:space="0" w:color="auto"/>
        <w:left w:val="none" w:sz="0" w:space="0" w:color="auto"/>
        <w:bottom w:val="none" w:sz="0" w:space="0" w:color="auto"/>
        <w:right w:val="none" w:sz="0" w:space="0" w:color="auto"/>
      </w:divBdr>
    </w:div>
    <w:div w:id="629407813">
      <w:bodyDiv w:val="1"/>
      <w:marLeft w:val="0"/>
      <w:marRight w:val="0"/>
      <w:marTop w:val="0"/>
      <w:marBottom w:val="0"/>
      <w:divBdr>
        <w:top w:val="none" w:sz="0" w:space="0" w:color="auto"/>
        <w:left w:val="none" w:sz="0" w:space="0" w:color="auto"/>
        <w:bottom w:val="none" w:sz="0" w:space="0" w:color="auto"/>
        <w:right w:val="none" w:sz="0" w:space="0" w:color="auto"/>
      </w:divBdr>
    </w:div>
    <w:div w:id="652947223">
      <w:bodyDiv w:val="1"/>
      <w:marLeft w:val="0"/>
      <w:marRight w:val="0"/>
      <w:marTop w:val="0"/>
      <w:marBottom w:val="0"/>
      <w:divBdr>
        <w:top w:val="none" w:sz="0" w:space="0" w:color="auto"/>
        <w:left w:val="none" w:sz="0" w:space="0" w:color="auto"/>
        <w:bottom w:val="none" w:sz="0" w:space="0" w:color="auto"/>
        <w:right w:val="none" w:sz="0" w:space="0" w:color="auto"/>
      </w:divBdr>
    </w:div>
    <w:div w:id="655763513">
      <w:bodyDiv w:val="1"/>
      <w:marLeft w:val="0"/>
      <w:marRight w:val="0"/>
      <w:marTop w:val="0"/>
      <w:marBottom w:val="0"/>
      <w:divBdr>
        <w:top w:val="none" w:sz="0" w:space="0" w:color="auto"/>
        <w:left w:val="none" w:sz="0" w:space="0" w:color="auto"/>
        <w:bottom w:val="none" w:sz="0" w:space="0" w:color="auto"/>
        <w:right w:val="none" w:sz="0" w:space="0" w:color="auto"/>
      </w:divBdr>
    </w:div>
    <w:div w:id="661467892">
      <w:bodyDiv w:val="1"/>
      <w:marLeft w:val="0"/>
      <w:marRight w:val="0"/>
      <w:marTop w:val="0"/>
      <w:marBottom w:val="0"/>
      <w:divBdr>
        <w:top w:val="none" w:sz="0" w:space="0" w:color="auto"/>
        <w:left w:val="none" w:sz="0" w:space="0" w:color="auto"/>
        <w:bottom w:val="none" w:sz="0" w:space="0" w:color="auto"/>
        <w:right w:val="none" w:sz="0" w:space="0" w:color="auto"/>
      </w:divBdr>
    </w:div>
    <w:div w:id="699554325">
      <w:bodyDiv w:val="1"/>
      <w:marLeft w:val="0"/>
      <w:marRight w:val="0"/>
      <w:marTop w:val="0"/>
      <w:marBottom w:val="0"/>
      <w:divBdr>
        <w:top w:val="none" w:sz="0" w:space="0" w:color="auto"/>
        <w:left w:val="none" w:sz="0" w:space="0" w:color="auto"/>
        <w:bottom w:val="none" w:sz="0" w:space="0" w:color="auto"/>
        <w:right w:val="none" w:sz="0" w:space="0" w:color="auto"/>
      </w:divBdr>
    </w:div>
    <w:div w:id="739907561">
      <w:bodyDiv w:val="1"/>
      <w:marLeft w:val="0"/>
      <w:marRight w:val="0"/>
      <w:marTop w:val="0"/>
      <w:marBottom w:val="0"/>
      <w:divBdr>
        <w:top w:val="none" w:sz="0" w:space="0" w:color="auto"/>
        <w:left w:val="none" w:sz="0" w:space="0" w:color="auto"/>
        <w:bottom w:val="none" w:sz="0" w:space="0" w:color="auto"/>
        <w:right w:val="none" w:sz="0" w:space="0" w:color="auto"/>
      </w:divBdr>
    </w:div>
    <w:div w:id="770391642">
      <w:bodyDiv w:val="1"/>
      <w:marLeft w:val="0"/>
      <w:marRight w:val="0"/>
      <w:marTop w:val="0"/>
      <w:marBottom w:val="0"/>
      <w:divBdr>
        <w:top w:val="none" w:sz="0" w:space="0" w:color="auto"/>
        <w:left w:val="none" w:sz="0" w:space="0" w:color="auto"/>
        <w:bottom w:val="none" w:sz="0" w:space="0" w:color="auto"/>
        <w:right w:val="none" w:sz="0" w:space="0" w:color="auto"/>
      </w:divBdr>
    </w:div>
    <w:div w:id="878392858">
      <w:bodyDiv w:val="1"/>
      <w:marLeft w:val="0"/>
      <w:marRight w:val="0"/>
      <w:marTop w:val="0"/>
      <w:marBottom w:val="0"/>
      <w:divBdr>
        <w:top w:val="none" w:sz="0" w:space="0" w:color="auto"/>
        <w:left w:val="none" w:sz="0" w:space="0" w:color="auto"/>
        <w:bottom w:val="none" w:sz="0" w:space="0" w:color="auto"/>
        <w:right w:val="none" w:sz="0" w:space="0" w:color="auto"/>
      </w:divBdr>
    </w:div>
    <w:div w:id="894196642">
      <w:bodyDiv w:val="1"/>
      <w:marLeft w:val="0"/>
      <w:marRight w:val="0"/>
      <w:marTop w:val="0"/>
      <w:marBottom w:val="0"/>
      <w:divBdr>
        <w:top w:val="none" w:sz="0" w:space="0" w:color="auto"/>
        <w:left w:val="none" w:sz="0" w:space="0" w:color="auto"/>
        <w:bottom w:val="none" w:sz="0" w:space="0" w:color="auto"/>
        <w:right w:val="none" w:sz="0" w:space="0" w:color="auto"/>
      </w:divBdr>
    </w:div>
    <w:div w:id="923222976">
      <w:bodyDiv w:val="1"/>
      <w:marLeft w:val="0"/>
      <w:marRight w:val="0"/>
      <w:marTop w:val="0"/>
      <w:marBottom w:val="0"/>
      <w:divBdr>
        <w:top w:val="none" w:sz="0" w:space="0" w:color="auto"/>
        <w:left w:val="none" w:sz="0" w:space="0" w:color="auto"/>
        <w:bottom w:val="none" w:sz="0" w:space="0" w:color="auto"/>
        <w:right w:val="none" w:sz="0" w:space="0" w:color="auto"/>
      </w:divBdr>
    </w:div>
    <w:div w:id="962423275">
      <w:bodyDiv w:val="1"/>
      <w:marLeft w:val="0"/>
      <w:marRight w:val="0"/>
      <w:marTop w:val="0"/>
      <w:marBottom w:val="0"/>
      <w:divBdr>
        <w:top w:val="none" w:sz="0" w:space="0" w:color="auto"/>
        <w:left w:val="none" w:sz="0" w:space="0" w:color="auto"/>
        <w:bottom w:val="none" w:sz="0" w:space="0" w:color="auto"/>
        <w:right w:val="none" w:sz="0" w:space="0" w:color="auto"/>
      </w:divBdr>
    </w:div>
    <w:div w:id="1041630348">
      <w:bodyDiv w:val="1"/>
      <w:marLeft w:val="0"/>
      <w:marRight w:val="0"/>
      <w:marTop w:val="0"/>
      <w:marBottom w:val="0"/>
      <w:divBdr>
        <w:top w:val="none" w:sz="0" w:space="0" w:color="auto"/>
        <w:left w:val="none" w:sz="0" w:space="0" w:color="auto"/>
        <w:bottom w:val="none" w:sz="0" w:space="0" w:color="auto"/>
        <w:right w:val="none" w:sz="0" w:space="0" w:color="auto"/>
      </w:divBdr>
    </w:div>
    <w:div w:id="1093471078">
      <w:bodyDiv w:val="1"/>
      <w:marLeft w:val="0"/>
      <w:marRight w:val="0"/>
      <w:marTop w:val="0"/>
      <w:marBottom w:val="0"/>
      <w:divBdr>
        <w:top w:val="none" w:sz="0" w:space="0" w:color="auto"/>
        <w:left w:val="none" w:sz="0" w:space="0" w:color="auto"/>
        <w:bottom w:val="none" w:sz="0" w:space="0" w:color="auto"/>
        <w:right w:val="none" w:sz="0" w:space="0" w:color="auto"/>
      </w:divBdr>
    </w:div>
    <w:div w:id="1109396654">
      <w:bodyDiv w:val="1"/>
      <w:marLeft w:val="0"/>
      <w:marRight w:val="0"/>
      <w:marTop w:val="0"/>
      <w:marBottom w:val="0"/>
      <w:divBdr>
        <w:top w:val="none" w:sz="0" w:space="0" w:color="auto"/>
        <w:left w:val="none" w:sz="0" w:space="0" w:color="auto"/>
        <w:bottom w:val="none" w:sz="0" w:space="0" w:color="auto"/>
        <w:right w:val="none" w:sz="0" w:space="0" w:color="auto"/>
      </w:divBdr>
    </w:div>
    <w:div w:id="1257204954">
      <w:bodyDiv w:val="1"/>
      <w:marLeft w:val="0"/>
      <w:marRight w:val="0"/>
      <w:marTop w:val="0"/>
      <w:marBottom w:val="0"/>
      <w:divBdr>
        <w:top w:val="none" w:sz="0" w:space="0" w:color="auto"/>
        <w:left w:val="none" w:sz="0" w:space="0" w:color="auto"/>
        <w:bottom w:val="none" w:sz="0" w:space="0" w:color="auto"/>
        <w:right w:val="none" w:sz="0" w:space="0" w:color="auto"/>
      </w:divBdr>
    </w:div>
    <w:div w:id="1319849299">
      <w:bodyDiv w:val="1"/>
      <w:marLeft w:val="0"/>
      <w:marRight w:val="0"/>
      <w:marTop w:val="0"/>
      <w:marBottom w:val="0"/>
      <w:divBdr>
        <w:top w:val="none" w:sz="0" w:space="0" w:color="auto"/>
        <w:left w:val="none" w:sz="0" w:space="0" w:color="auto"/>
        <w:bottom w:val="none" w:sz="0" w:space="0" w:color="auto"/>
        <w:right w:val="none" w:sz="0" w:space="0" w:color="auto"/>
      </w:divBdr>
    </w:div>
    <w:div w:id="1324434887">
      <w:bodyDiv w:val="1"/>
      <w:marLeft w:val="0"/>
      <w:marRight w:val="0"/>
      <w:marTop w:val="0"/>
      <w:marBottom w:val="0"/>
      <w:divBdr>
        <w:top w:val="none" w:sz="0" w:space="0" w:color="auto"/>
        <w:left w:val="none" w:sz="0" w:space="0" w:color="auto"/>
        <w:bottom w:val="none" w:sz="0" w:space="0" w:color="auto"/>
        <w:right w:val="none" w:sz="0" w:space="0" w:color="auto"/>
      </w:divBdr>
    </w:div>
    <w:div w:id="1361323339">
      <w:bodyDiv w:val="1"/>
      <w:marLeft w:val="0"/>
      <w:marRight w:val="0"/>
      <w:marTop w:val="0"/>
      <w:marBottom w:val="0"/>
      <w:divBdr>
        <w:top w:val="none" w:sz="0" w:space="0" w:color="auto"/>
        <w:left w:val="none" w:sz="0" w:space="0" w:color="auto"/>
        <w:bottom w:val="none" w:sz="0" w:space="0" w:color="auto"/>
        <w:right w:val="none" w:sz="0" w:space="0" w:color="auto"/>
      </w:divBdr>
    </w:div>
    <w:div w:id="1370226773">
      <w:bodyDiv w:val="1"/>
      <w:marLeft w:val="0"/>
      <w:marRight w:val="0"/>
      <w:marTop w:val="0"/>
      <w:marBottom w:val="0"/>
      <w:divBdr>
        <w:top w:val="none" w:sz="0" w:space="0" w:color="auto"/>
        <w:left w:val="none" w:sz="0" w:space="0" w:color="auto"/>
        <w:bottom w:val="none" w:sz="0" w:space="0" w:color="auto"/>
        <w:right w:val="none" w:sz="0" w:space="0" w:color="auto"/>
      </w:divBdr>
    </w:div>
    <w:div w:id="1371222182">
      <w:bodyDiv w:val="1"/>
      <w:marLeft w:val="0"/>
      <w:marRight w:val="0"/>
      <w:marTop w:val="0"/>
      <w:marBottom w:val="0"/>
      <w:divBdr>
        <w:top w:val="none" w:sz="0" w:space="0" w:color="auto"/>
        <w:left w:val="none" w:sz="0" w:space="0" w:color="auto"/>
        <w:bottom w:val="none" w:sz="0" w:space="0" w:color="auto"/>
        <w:right w:val="none" w:sz="0" w:space="0" w:color="auto"/>
      </w:divBdr>
    </w:div>
    <w:div w:id="1372266023">
      <w:bodyDiv w:val="1"/>
      <w:marLeft w:val="0"/>
      <w:marRight w:val="0"/>
      <w:marTop w:val="0"/>
      <w:marBottom w:val="0"/>
      <w:divBdr>
        <w:top w:val="none" w:sz="0" w:space="0" w:color="auto"/>
        <w:left w:val="none" w:sz="0" w:space="0" w:color="auto"/>
        <w:bottom w:val="none" w:sz="0" w:space="0" w:color="auto"/>
        <w:right w:val="none" w:sz="0" w:space="0" w:color="auto"/>
      </w:divBdr>
    </w:div>
    <w:div w:id="1388143797">
      <w:bodyDiv w:val="1"/>
      <w:marLeft w:val="0"/>
      <w:marRight w:val="0"/>
      <w:marTop w:val="0"/>
      <w:marBottom w:val="0"/>
      <w:divBdr>
        <w:top w:val="none" w:sz="0" w:space="0" w:color="auto"/>
        <w:left w:val="none" w:sz="0" w:space="0" w:color="auto"/>
        <w:bottom w:val="none" w:sz="0" w:space="0" w:color="auto"/>
        <w:right w:val="none" w:sz="0" w:space="0" w:color="auto"/>
      </w:divBdr>
    </w:div>
    <w:div w:id="1426265197">
      <w:bodyDiv w:val="1"/>
      <w:marLeft w:val="0"/>
      <w:marRight w:val="0"/>
      <w:marTop w:val="0"/>
      <w:marBottom w:val="0"/>
      <w:divBdr>
        <w:top w:val="none" w:sz="0" w:space="0" w:color="auto"/>
        <w:left w:val="none" w:sz="0" w:space="0" w:color="auto"/>
        <w:bottom w:val="none" w:sz="0" w:space="0" w:color="auto"/>
        <w:right w:val="none" w:sz="0" w:space="0" w:color="auto"/>
      </w:divBdr>
    </w:div>
    <w:div w:id="1431855927">
      <w:bodyDiv w:val="1"/>
      <w:marLeft w:val="0"/>
      <w:marRight w:val="0"/>
      <w:marTop w:val="0"/>
      <w:marBottom w:val="0"/>
      <w:divBdr>
        <w:top w:val="none" w:sz="0" w:space="0" w:color="auto"/>
        <w:left w:val="none" w:sz="0" w:space="0" w:color="auto"/>
        <w:bottom w:val="none" w:sz="0" w:space="0" w:color="auto"/>
        <w:right w:val="none" w:sz="0" w:space="0" w:color="auto"/>
      </w:divBdr>
    </w:div>
    <w:div w:id="1432553262">
      <w:bodyDiv w:val="1"/>
      <w:marLeft w:val="0"/>
      <w:marRight w:val="0"/>
      <w:marTop w:val="0"/>
      <w:marBottom w:val="0"/>
      <w:divBdr>
        <w:top w:val="none" w:sz="0" w:space="0" w:color="auto"/>
        <w:left w:val="none" w:sz="0" w:space="0" w:color="auto"/>
        <w:bottom w:val="none" w:sz="0" w:space="0" w:color="auto"/>
        <w:right w:val="none" w:sz="0" w:space="0" w:color="auto"/>
      </w:divBdr>
    </w:div>
    <w:div w:id="1459373370">
      <w:bodyDiv w:val="1"/>
      <w:marLeft w:val="0"/>
      <w:marRight w:val="0"/>
      <w:marTop w:val="0"/>
      <w:marBottom w:val="0"/>
      <w:divBdr>
        <w:top w:val="none" w:sz="0" w:space="0" w:color="auto"/>
        <w:left w:val="none" w:sz="0" w:space="0" w:color="auto"/>
        <w:bottom w:val="none" w:sz="0" w:space="0" w:color="auto"/>
        <w:right w:val="none" w:sz="0" w:space="0" w:color="auto"/>
      </w:divBdr>
    </w:div>
    <w:div w:id="1535000831">
      <w:bodyDiv w:val="1"/>
      <w:marLeft w:val="0"/>
      <w:marRight w:val="0"/>
      <w:marTop w:val="0"/>
      <w:marBottom w:val="0"/>
      <w:divBdr>
        <w:top w:val="none" w:sz="0" w:space="0" w:color="auto"/>
        <w:left w:val="none" w:sz="0" w:space="0" w:color="auto"/>
        <w:bottom w:val="none" w:sz="0" w:space="0" w:color="auto"/>
        <w:right w:val="none" w:sz="0" w:space="0" w:color="auto"/>
      </w:divBdr>
    </w:div>
    <w:div w:id="1535264715">
      <w:bodyDiv w:val="1"/>
      <w:marLeft w:val="0"/>
      <w:marRight w:val="0"/>
      <w:marTop w:val="0"/>
      <w:marBottom w:val="0"/>
      <w:divBdr>
        <w:top w:val="none" w:sz="0" w:space="0" w:color="auto"/>
        <w:left w:val="none" w:sz="0" w:space="0" w:color="auto"/>
        <w:bottom w:val="none" w:sz="0" w:space="0" w:color="auto"/>
        <w:right w:val="none" w:sz="0" w:space="0" w:color="auto"/>
      </w:divBdr>
    </w:div>
    <w:div w:id="1581670026">
      <w:bodyDiv w:val="1"/>
      <w:marLeft w:val="0"/>
      <w:marRight w:val="0"/>
      <w:marTop w:val="0"/>
      <w:marBottom w:val="0"/>
      <w:divBdr>
        <w:top w:val="none" w:sz="0" w:space="0" w:color="auto"/>
        <w:left w:val="none" w:sz="0" w:space="0" w:color="auto"/>
        <w:bottom w:val="none" w:sz="0" w:space="0" w:color="auto"/>
        <w:right w:val="none" w:sz="0" w:space="0" w:color="auto"/>
      </w:divBdr>
    </w:div>
    <w:div w:id="1601988193">
      <w:bodyDiv w:val="1"/>
      <w:marLeft w:val="0"/>
      <w:marRight w:val="0"/>
      <w:marTop w:val="0"/>
      <w:marBottom w:val="0"/>
      <w:divBdr>
        <w:top w:val="none" w:sz="0" w:space="0" w:color="auto"/>
        <w:left w:val="none" w:sz="0" w:space="0" w:color="auto"/>
        <w:bottom w:val="none" w:sz="0" w:space="0" w:color="auto"/>
        <w:right w:val="none" w:sz="0" w:space="0" w:color="auto"/>
      </w:divBdr>
    </w:div>
    <w:div w:id="1610551475">
      <w:bodyDiv w:val="1"/>
      <w:marLeft w:val="0"/>
      <w:marRight w:val="0"/>
      <w:marTop w:val="0"/>
      <w:marBottom w:val="0"/>
      <w:divBdr>
        <w:top w:val="none" w:sz="0" w:space="0" w:color="auto"/>
        <w:left w:val="none" w:sz="0" w:space="0" w:color="auto"/>
        <w:bottom w:val="none" w:sz="0" w:space="0" w:color="auto"/>
        <w:right w:val="none" w:sz="0" w:space="0" w:color="auto"/>
      </w:divBdr>
    </w:div>
    <w:div w:id="1611888030">
      <w:bodyDiv w:val="1"/>
      <w:marLeft w:val="0"/>
      <w:marRight w:val="0"/>
      <w:marTop w:val="0"/>
      <w:marBottom w:val="0"/>
      <w:divBdr>
        <w:top w:val="none" w:sz="0" w:space="0" w:color="auto"/>
        <w:left w:val="none" w:sz="0" w:space="0" w:color="auto"/>
        <w:bottom w:val="none" w:sz="0" w:space="0" w:color="auto"/>
        <w:right w:val="none" w:sz="0" w:space="0" w:color="auto"/>
      </w:divBdr>
    </w:div>
    <w:div w:id="1616326487">
      <w:bodyDiv w:val="1"/>
      <w:marLeft w:val="0"/>
      <w:marRight w:val="0"/>
      <w:marTop w:val="0"/>
      <w:marBottom w:val="0"/>
      <w:divBdr>
        <w:top w:val="none" w:sz="0" w:space="0" w:color="auto"/>
        <w:left w:val="none" w:sz="0" w:space="0" w:color="auto"/>
        <w:bottom w:val="none" w:sz="0" w:space="0" w:color="auto"/>
        <w:right w:val="none" w:sz="0" w:space="0" w:color="auto"/>
      </w:divBdr>
    </w:div>
    <w:div w:id="1638027560">
      <w:bodyDiv w:val="1"/>
      <w:marLeft w:val="0"/>
      <w:marRight w:val="0"/>
      <w:marTop w:val="0"/>
      <w:marBottom w:val="0"/>
      <w:divBdr>
        <w:top w:val="none" w:sz="0" w:space="0" w:color="auto"/>
        <w:left w:val="none" w:sz="0" w:space="0" w:color="auto"/>
        <w:bottom w:val="none" w:sz="0" w:space="0" w:color="auto"/>
        <w:right w:val="none" w:sz="0" w:space="0" w:color="auto"/>
      </w:divBdr>
    </w:div>
    <w:div w:id="1654219063">
      <w:marLeft w:val="0"/>
      <w:marRight w:val="0"/>
      <w:marTop w:val="0"/>
      <w:marBottom w:val="0"/>
      <w:divBdr>
        <w:top w:val="none" w:sz="0" w:space="0" w:color="auto"/>
        <w:left w:val="none" w:sz="0" w:space="0" w:color="auto"/>
        <w:bottom w:val="none" w:sz="0" w:space="0" w:color="auto"/>
        <w:right w:val="none" w:sz="0" w:space="0" w:color="auto"/>
      </w:divBdr>
    </w:div>
    <w:div w:id="1654219064">
      <w:marLeft w:val="0"/>
      <w:marRight w:val="0"/>
      <w:marTop w:val="0"/>
      <w:marBottom w:val="0"/>
      <w:divBdr>
        <w:top w:val="none" w:sz="0" w:space="0" w:color="auto"/>
        <w:left w:val="none" w:sz="0" w:space="0" w:color="auto"/>
        <w:bottom w:val="none" w:sz="0" w:space="0" w:color="auto"/>
        <w:right w:val="none" w:sz="0" w:space="0" w:color="auto"/>
      </w:divBdr>
    </w:div>
    <w:div w:id="1654219065">
      <w:marLeft w:val="0"/>
      <w:marRight w:val="0"/>
      <w:marTop w:val="0"/>
      <w:marBottom w:val="0"/>
      <w:divBdr>
        <w:top w:val="none" w:sz="0" w:space="0" w:color="auto"/>
        <w:left w:val="none" w:sz="0" w:space="0" w:color="auto"/>
        <w:bottom w:val="none" w:sz="0" w:space="0" w:color="auto"/>
        <w:right w:val="none" w:sz="0" w:space="0" w:color="auto"/>
      </w:divBdr>
    </w:div>
    <w:div w:id="1654219066">
      <w:marLeft w:val="0"/>
      <w:marRight w:val="0"/>
      <w:marTop w:val="0"/>
      <w:marBottom w:val="0"/>
      <w:divBdr>
        <w:top w:val="none" w:sz="0" w:space="0" w:color="auto"/>
        <w:left w:val="none" w:sz="0" w:space="0" w:color="auto"/>
        <w:bottom w:val="none" w:sz="0" w:space="0" w:color="auto"/>
        <w:right w:val="none" w:sz="0" w:space="0" w:color="auto"/>
      </w:divBdr>
    </w:div>
    <w:div w:id="1654219067">
      <w:marLeft w:val="0"/>
      <w:marRight w:val="0"/>
      <w:marTop w:val="0"/>
      <w:marBottom w:val="0"/>
      <w:divBdr>
        <w:top w:val="none" w:sz="0" w:space="0" w:color="auto"/>
        <w:left w:val="none" w:sz="0" w:space="0" w:color="auto"/>
        <w:bottom w:val="none" w:sz="0" w:space="0" w:color="auto"/>
        <w:right w:val="none" w:sz="0" w:space="0" w:color="auto"/>
      </w:divBdr>
    </w:div>
    <w:div w:id="1654219068">
      <w:marLeft w:val="0"/>
      <w:marRight w:val="0"/>
      <w:marTop w:val="0"/>
      <w:marBottom w:val="0"/>
      <w:divBdr>
        <w:top w:val="none" w:sz="0" w:space="0" w:color="auto"/>
        <w:left w:val="none" w:sz="0" w:space="0" w:color="auto"/>
        <w:bottom w:val="none" w:sz="0" w:space="0" w:color="auto"/>
        <w:right w:val="none" w:sz="0" w:space="0" w:color="auto"/>
      </w:divBdr>
    </w:div>
    <w:div w:id="1654219069">
      <w:marLeft w:val="0"/>
      <w:marRight w:val="0"/>
      <w:marTop w:val="0"/>
      <w:marBottom w:val="0"/>
      <w:divBdr>
        <w:top w:val="none" w:sz="0" w:space="0" w:color="auto"/>
        <w:left w:val="none" w:sz="0" w:space="0" w:color="auto"/>
        <w:bottom w:val="none" w:sz="0" w:space="0" w:color="auto"/>
        <w:right w:val="none" w:sz="0" w:space="0" w:color="auto"/>
      </w:divBdr>
    </w:div>
    <w:div w:id="1654219070">
      <w:marLeft w:val="0"/>
      <w:marRight w:val="0"/>
      <w:marTop w:val="0"/>
      <w:marBottom w:val="0"/>
      <w:divBdr>
        <w:top w:val="none" w:sz="0" w:space="0" w:color="auto"/>
        <w:left w:val="none" w:sz="0" w:space="0" w:color="auto"/>
        <w:bottom w:val="none" w:sz="0" w:space="0" w:color="auto"/>
        <w:right w:val="none" w:sz="0" w:space="0" w:color="auto"/>
      </w:divBdr>
    </w:div>
    <w:div w:id="1654219071">
      <w:marLeft w:val="0"/>
      <w:marRight w:val="0"/>
      <w:marTop w:val="0"/>
      <w:marBottom w:val="0"/>
      <w:divBdr>
        <w:top w:val="none" w:sz="0" w:space="0" w:color="auto"/>
        <w:left w:val="none" w:sz="0" w:space="0" w:color="auto"/>
        <w:bottom w:val="none" w:sz="0" w:space="0" w:color="auto"/>
        <w:right w:val="none" w:sz="0" w:space="0" w:color="auto"/>
      </w:divBdr>
    </w:div>
    <w:div w:id="1654219072">
      <w:marLeft w:val="0"/>
      <w:marRight w:val="0"/>
      <w:marTop w:val="0"/>
      <w:marBottom w:val="0"/>
      <w:divBdr>
        <w:top w:val="none" w:sz="0" w:space="0" w:color="auto"/>
        <w:left w:val="none" w:sz="0" w:space="0" w:color="auto"/>
        <w:bottom w:val="none" w:sz="0" w:space="0" w:color="auto"/>
        <w:right w:val="none" w:sz="0" w:space="0" w:color="auto"/>
      </w:divBdr>
    </w:div>
    <w:div w:id="1654219073">
      <w:marLeft w:val="0"/>
      <w:marRight w:val="0"/>
      <w:marTop w:val="0"/>
      <w:marBottom w:val="0"/>
      <w:divBdr>
        <w:top w:val="none" w:sz="0" w:space="0" w:color="auto"/>
        <w:left w:val="none" w:sz="0" w:space="0" w:color="auto"/>
        <w:bottom w:val="none" w:sz="0" w:space="0" w:color="auto"/>
        <w:right w:val="none" w:sz="0" w:space="0" w:color="auto"/>
      </w:divBdr>
    </w:div>
    <w:div w:id="1654219074">
      <w:marLeft w:val="0"/>
      <w:marRight w:val="0"/>
      <w:marTop w:val="0"/>
      <w:marBottom w:val="0"/>
      <w:divBdr>
        <w:top w:val="none" w:sz="0" w:space="0" w:color="auto"/>
        <w:left w:val="none" w:sz="0" w:space="0" w:color="auto"/>
        <w:bottom w:val="none" w:sz="0" w:space="0" w:color="auto"/>
        <w:right w:val="none" w:sz="0" w:space="0" w:color="auto"/>
      </w:divBdr>
    </w:div>
    <w:div w:id="1654219075">
      <w:marLeft w:val="0"/>
      <w:marRight w:val="0"/>
      <w:marTop w:val="0"/>
      <w:marBottom w:val="0"/>
      <w:divBdr>
        <w:top w:val="none" w:sz="0" w:space="0" w:color="auto"/>
        <w:left w:val="none" w:sz="0" w:space="0" w:color="auto"/>
        <w:bottom w:val="none" w:sz="0" w:space="0" w:color="auto"/>
        <w:right w:val="none" w:sz="0" w:space="0" w:color="auto"/>
      </w:divBdr>
    </w:div>
    <w:div w:id="1654219076">
      <w:marLeft w:val="0"/>
      <w:marRight w:val="0"/>
      <w:marTop w:val="0"/>
      <w:marBottom w:val="0"/>
      <w:divBdr>
        <w:top w:val="none" w:sz="0" w:space="0" w:color="auto"/>
        <w:left w:val="none" w:sz="0" w:space="0" w:color="auto"/>
        <w:bottom w:val="none" w:sz="0" w:space="0" w:color="auto"/>
        <w:right w:val="none" w:sz="0" w:space="0" w:color="auto"/>
      </w:divBdr>
    </w:div>
    <w:div w:id="1674723318">
      <w:bodyDiv w:val="1"/>
      <w:marLeft w:val="0"/>
      <w:marRight w:val="0"/>
      <w:marTop w:val="0"/>
      <w:marBottom w:val="0"/>
      <w:divBdr>
        <w:top w:val="none" w:sz="0" w:space="0" w:color="auto"/>
        <w:left w:val="none" w:sz="0" w:space="0" w:color="auto"/>
        <w:bottom w:val="none" w:sz="0" w:space="0" w:color="auto"/>
        <w:right w:val="none" w:sz="0" w:space="0" w:color="auto"/>
      </w:divBdr>
    </w:div>
    <w:div w:id="1780761438">
      <w:bodyDiv w:val="1"/>
      <w:marLeft w:val="0"/>
      <w:marRight w:val="0"/>
      <w:marTop w:val="0"/>
      <w:marBottom w:val="0"/>
      <w:divBdr>
        <w:top w:val="none" w:sz="0" w:space="0" w:color="auto"/>
        <w:left w:val="none" w:sz="0" w:space="0" w:color="auto"/>
        <w:bottom w:val="none" w:sz="0" w:space="0" w:color="auto"/>
        <w:right w:val="none" w:sz="0" w:space="0" w:color="auto"/>
      </w:divBdr>
    </w:div>
    <w:div w:id="1800999348">
      <w:bodyDiv w:val="1"/>
      <w:marLeft w:val="0"/>
      <w:marRight w:val="0"/>
      <w:marTop w:val="0"/>
      <w:marBottom w:val="0"/>
      <w:divBdr>
        <w:top w:val="none" w:sz="0" w:space="0" w:color="auto"/>
        <w:left w:val="none" w:sz="0" w:space="0" w:color="auto"/>
        <w:bottom w:val="none" w:sz="0" w:space="0" w:color="auto"/>
        <w:right w:val="none" w:sz="0" w:space="0" w:color="auto"/>
      </w:divBdr>
    </w:div>
    <w:div w:id="1813593315">
      <w:bodyDiv w:val="1"/>
      <w:marLeft w:val="0"/>
      <w:marRight w:val="0"/>
      <w:marTop w:val="0"/>
      <w:marBottom w:val="0"/>
      <w:divBdr>
        <w:top w:val="none" w:sz="0" w:space="0" w:color="auto"/>
        <w:left w:val="none" w:sz="0" w:space="0" w:color="auto"/>
        <w:bottom w:val="none" w:sz="0" w:space="0" w:color="auto"/>
        <w:right w:val="none" w:sz="0" w:space="0" w:color="auto"/>
      </w:divBdr>
    </w:div>
    <w:div w:id="1831940175">
      <w:bodyDiv w:val="1"/>
      <w:marLeft w:val="0"/>
      <w:marRight w:val="0"/>
      <w:marTop w:val="0"/>
      <w:marBottom w:val="0"/>
      <w:divBdr>
        <w:top w:val="none" w:sz="0" w:space="0" w:color="auto"/>
        <w:left w:val="none" w:sz="0" w:space="0" w:color="auto"/>
        <w:bottom w:val="none" w:sz="0" w:space="0" w:color="auto"/>
        <w:right w:val="none" w:sz="0" w:space="0" w:color="auto"/>
      </w:divBdr>
    </w:div>
    <w:div w:id="1888713927">
      <w:bodyDiv w:val="1"/>
      <w:marLeft w:val="0"/>
      <w:marRight w:val="0"/>
      <w:marTop w:val="0"/>
      <w:marBottom w:val="0"/>
      <w:divBdr>
        <w:top w:val="none" w:sz="0" w:space="0" w:color="auto"/>
        <w:left w:val="none" w:sz="0" w:space="0" w:color="auto"/>
        <w:bottom w:val="none" w:sz="0" w:space="0" w:color="auto"/>
        <w:right w:val="none" w:sz="0" w:space="0" w:color="auto"/>
      </w:divBdr>
    </w:div>
    <w:div w:id="1914660561">
      <w:bodyDiv w:val="1"/>
      <w:marLeft w:val="0"/>
      <w:marRight w:val="0"/>
      <w:marTop w:val="0"/>
      <w:marBottom w:val="0"/>
      <w:divBdr>
        <w:top w:val="none" w:sz="0" w:space="0" w:color="auto"/>
        <w:left w:val="none" w:sz="0" w:space="0" w:color="auto"/>
        <w:bottom w:val="none" w:sz="0" w:space="0" w:color="auto"/>
        <w:right w:val="none" w:sz="0" w:space="0" w:color="auto"/>
      </w:divBdr>
    </w:div>
    <w:div w:id="1934166851">
      <w:bodyDiv w:val="1"/>
      <w:marLeft w:val="0"/>
      <w:marRight w:val="0"/>
      <w:marTop w:val="0"/>
      <w:marBottom w:val="0"/>
      <w:divBdr>
        <w:top w:val="none" w:sz="0" w:space="0" w:color="auto"/>
        <w:left w:val="none" w:sz="0" w:space="0" w:color="auto"/>
        <w:bottom w:val="none" w:sz="0" w:space="0" w:color="auto"/>
        <w:right w:val="none" w:sz="0" w:space="0" w:color="auto"/>
      </w:divBdr>
    </w:div>
    <w:div w:id="1947812327">
      <w:bodyDiv w:val="1"/>
      <w:marLeft w:val="0"/>
      <w:marRight w:val="0"/>
      <w:marTop w:val="0"/>
      <w:marBottom w:val="0"/>
      <w:divBdr>
        <w:top w:val="none" w:sz="0" w:space="0" w:color="auto"/>
        <w:left w:val="none" w:sz="0" w:space="0" w:color="auto"/>
        <w:bottom w:val="none" w:sz="0" w:space="0" w:color="auto"/>
        <w:right w:val="none" w:sz="0" w:space="0" w:color="auto"/>
      </w:divBdr>
    </w:div>
    <w:div w:id="1982230220">
      <w:bodyDiv w:val="1"/>
      <w:marLeft w:val="0"/>
      <w:marRight w:val="0"/>
      <w:marTop w:val="0"/>
      <w:marBottom w:val="0"/>
      <w:divBdr>
        <w:top w:val="none" w:sz="0" w:space="0" w:color="auto"/>
        <w:left w:val="none" w:sz="0" w:space="0" w:color="auto"/>
        <w:bottom w:val="none" w:sz="0" w:space="0" w:color="auto"/>
        <w:right w:val="none" w:sz="0" w:space="0" w:color="auto"/>
      </w:divBdr>
    </w:div>
    <w:div w:id="2001032936">
      <w:bodyDiv w:val="1"/>
      <w:marLeft w:val="0"/>
      <w:marRight w:val="0"/>
      <w:marTop w:val="0"/>
      <w:marBottom w:val="0"/>
      <w:divBdr>
        <w:top w:val="none" w:sz="0" w:space="0" w:color="auto"/>
        <w:left w:val="none" w:sz="0" w:space="0" w:color="auto"/>
        <w:bottom w:val="none" w:sz="0" w:space="0" w:color="auto"/>
        <w:right w:val="none" w:sz="0" w:space="0" w:color="auto"/>
      </w:divBdr>
    </w:div>
    <w:div w:id="2082093871">
      <w:bodyDiv w:val="1"/>
      <w:marLeft w:val="0"/>
      <w:marRight w:val="0"/>
      <w:marTop w:val="0"/>
      <w:marBottom w:val="0"/>
      <w:divBdr>
        <w:top w:val="none" w:sz="0" w:space="0" w:color="auto"/>
        <w:left w:val="none" w:sz="0" w:space="0" w:color="auto"/>
        <w:bottom w:val="none" w:sz="0" w:space="0" w:color="auto"/>
        <w:right w:val="none" w:sz="0" w:space="0" w:color="auto"/>
      </w:divBdr>
    </w:div>
    <w:div w:id="2088530128">
      <w:bodyDiv w:val="1"/>
      <w:marLeft w:val="0"/>
      <w:marRight w:val="0"/>
      <w:marTop w:val="0"/>
      <w:marBottom w:val="0"/>
      <w:divBdr>
        <w:top w:val="none" w:sz="0" w:space="0" w:color="auto"/>
        <w:left w:val="none" w:sz="0" w:space="0" w:color="auto"/>
        <w:bottom w:val="none" w:sz="0" w:space="0" w:color="auto"/>
        <w:right w:val="none" w:sz="0" w:space="0" w:color="auto"/>
      </w:divBdr>
    </w:div>
    <w:div w:id="2139949340">
      <w:bodyDiv w:val="1"/>
      <w:marLeft w:val="0"/>
      <w:marRight w:val="0"/>
      <w:marTop w:val="0"/>
      <w:marBottom w:val="0"/>
      <w:divBdr>
        <w:top w:val="none" w:sz="0" w:space="0" w:color="auto"/>
        <w:left w:val="none" w:sz="0" w:space="0" w:color="auto"/>
        <w:bottom w:val="none" w:sz="0" w:space="0" w:color="auto"/>
        <w:right w:val="none" w:sz="0" w:space="0" w:color="auto"/>
      </w:divBdr>
    </w:div>
    <w:div w:id="21414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jp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f.transparenciasinaloa.gob.mx/avance-trimestral-de-sinaloa/"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ner1\Dropbox\2020\Informe%20Financiero%20segundo%20trimestre\Informe%20Financiero%20tercer%20trimestre\inflacion-enero%20septiembre%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wner1\Dropbox\2020\Informe%20Financiero%20segundo%20trimestre\Informe%20Financiero%20tercer%20trimestre\inflacion-enero%20septiem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0408163265306121"/>
          <c:y val="0.15936162778414309"/>
          <c:w val="0.8673478030809586"/>
          <c:h val="0.68567741725783271"/>
        </c:manualLayout>
      </c:layout>
      <c:barChart>
        <c:barDir val="col"/>
        <c:grouping val="clustered"/>
        <c:varyColors val="0"/>
        <c:ser>
          <c:idx val="0"/>
          <c:order val="0"/>
          <c:spPr>
            <a:solidFill>
              <a:srgbClr val="861D31"/>
            </a:solidFill>
          </c:spPr>
          <c:invertIfNegative val="0"/>
          <c:dLbls>
            <c:dLbl>
              <c:idx val="0"/>
              <c:layout>
                <c:manualLayout>
                  <c:x val="-6.5541807274090737E-3"/>
                  <c:y val="1.14881626418772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C3-4E23-8776-E6CDC6CCB00E}"/>
                </c:ext>
              </c:extLst>
            </c:dLbl>
            <c:dLbl>
              <c:idx val="2"/>
              <c:layout>
                <c:manualLayout>
                  <c:x val="0"/>
                  <c:y val="-4.45930880713491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C3-4E23-8776-E6CDC6CCB00E}"/>
                </c:ext>
              </c:extLst>
            </c:dLbl>
            <c:dLbl>
              <c:idx val="3"/>
              <c:layout>
                <c:manualLayout>
                  <c:x val="7.8778614211685535E-4"/>
                  <c:y val="-1.0630652592574534E-2"/>
                </c:manualLayout>
              </c:layout>
              <c:numFmt formatCode="0.00" sourceLinked="0"/>
              <c:spPr/>
              <c:txPr>
                <a:bodyPr/>
                <a:lstStyle/>
                <a:p>
                  <a:pPr>
                    <a:defRPr lang="es-ES" b="1" baseline="0">
                      <a:solidFill>
                        <a:sysClr val="windowText" lastClr="000000"/>
                      </a:solidFil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C3-4E23-8776-E6CDC6CCB00E}"/>
                </c:ext>
              </c:extLst>
            </c:dLbl>
            <c:dLbl>
              <c:idx val="8"/>
              <c:layout>
                <c:manualLayout>
                  <c:x val="-1.297552091702835E-3"/>
                  <c:y val="-1.08824691227977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C3-4E23-8776-E6CDC6CCB00E}"/>
                </c:ext>
              </c:extLst>
            </c:dLbl>
            <c:numFmt formatCode="0.00" sourceLinked="0"/>
            <c:spPr>
              <a:noFill/>
              <a:ln>
                <a:noFill/>
              </a:ln>
              <a:effectLst/>
            </c:spPr>
            <c:txPr>
              <a:bodyPr/>
              <a:lstStyle/>
              <a:p>
                <a:pPr>
                  <a:defRPr lang="es-ES"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Hoja1!$H$72:$U$72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Hoja1!$H$73:$U$73</c:f>
              <c:numCache>
                <c:formatCode>General</c:formatCode>
                <c:ptCount val="14"/>
                <c:pt idx="0">
                  <c:v>0.84481849976894008</c:v>
                </c:pt>
                <c:pt idx="1">
                  <c:v>0.54935172000447652</c:v>
                </c:pt>
                <c:pt idx="2">
                  <c:v>0.77763691863137496</c:v>
                </c:pt>
                <c:pt idx="3">
                  <c:v>0.5340162929465595</c:v>
                </c:pt>
                <c:pt idx="4">
                  <c:v>0.29406857428877525</c:v>
                </c:pt>
                <c:pt idx="5">
                  <c:v>0.55675198237405965</c:v>
                </c:pt>
                <c:pt idx="6">
                  <c:v>-9.8065174086725592E-4</c:v>
                </c:pt>
                <c:pt idx="7">
                  <c:v>0.67138985307371235</c:v>
                </c:pt>
                <c:pt idx="8">
                  <c:v>0.3538688734707533</c:v>
                </c:pt>
                <c:pt idx="9">
                  <c:v>0.45607863049497172</c:v>
                </c:pt>
                <c:pt idx="10">
                  <c:v>0.26040115393490831</c:v>
                </c:pt>
                <c:pt idx="11">
                  <c:v>0.55464440137169602</c:v>
                </c:pt>
                <c:pt idx="12">
                  <c:v>0.38738721332380927</c:v>
                </c:pt>
                <c:pt idx="13">
                  <c:v>0.28958787269306474</c:v>
                </c:pt>
              </c:numCache>
            </c:numRef>
          </c:val>
          <c:extLst>
            <c:ext xmlns:c16="http://schemas.microsoft.com/office/drawing/2014/chart" uri="{C3380CC4-5D6E-409C-BE32-E72D297353CC}">
              <c16:uniqueId val="{00000004-6CC3-4E23-8776-E6CDC6CCB00E}"/>
            </c:ext>
          </c:extLst>
        </c:ser>
        <c:dLbls>
          <c:showLegendKey val="0"/>
          <c:showVal val="0"/>
          <c:showCatName val="0"/>
          <c:showSerName val="0"/>
          <c:showPercent val="0"/>
          <c:showBubbleSize val="0"/>
        </c:dLbls>
        <c:gapWidth val="30"/>
        <c:axId val="142173552"/>
        <c:axId val="328743944"/>
      </c:barChart>
      <c:catAx>
        <c:axId val="142173552"/>
        <c:scaling>
          <c:orientation val="minMax"/>
        </c:scaling>
        <c:delete val="0"/>
        <c:axPos val="b"/>
        <c:numFmt formatCode="General" sourceLinked="1"/>
        <c:majorTickMark val="out"/>
        <c:minorTickMark val="none"/>
        <c:tickLblPos val="low"/>
        <c:txPr>
          <a:bodyPr rot="0" vert="horz"/>
          <a:lstStyle/>
          <a:p>
            <a:pPr>
              <a:defRPr lang="es-ES"/>
            </a:pPr>
            <a:endParaRPr lang="es-MX"/>
          </a:p>
        </c:txPr>
        <c:crossAx val="328743944"/>
        <c:crosses val="autoZero"/>
        <c:auto val="1"/>
        <c:lblAlgn val="ctr"/>
        <c:lblOffset val="100"/>
        <c:tickLblSkip val="1"/>
        <c:tickMarkSkip val="1"/>
        <c:noMultiLvlLbl val="0"/>
      </c:catAx>
      <c:valAx>
        <c:axId val="328743944"/>
        <c:scaling>
          <c:orientation val="minMax"/>
        </c:scaling>
        <c:delete val="0"/>
        <c:axPos val="l"/>
        <c:numFmt formatCode="General" sourceLinked="1"/>
        <c:majorTickMark val="out"/>
        <c:minorTickMark val="none"/>
        <c:tickLblPos val="nextTo"/>
        <c:txPr>
          <a:bodyPr rot="0" vert="horz"/>
          <a:lstStyle/>
          <a:p>
            <a:pPr>
              <a:defRPr lang="es-ES"/>
            </a:pPr>
            <a:endParaRPr lang="es-MX"/>
          </a:p>
        </c:txPr>
        <c:crossAx val="14217355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7.5356415478615102E-2"/>
          <c:y val="0.14666725422303245"/>
          <c:w val="0.88798370672097759"/>
          <c:h val="0.68000221354888346"/>
        </c:manualLayout>
      </c:layout>
      <c:barChart>
        <c:barDir val="col"/>
        <c:grouping val="clustered"/>
        <c:varyColors val="0"/>
        <c:ser>
          <c:idx val="0"/>
          <c:order val="0"/>
          <c:spPr>
            <a:solidFill>
              <a:srgbClr val="861D31"/>
            </a:solidFill>
          </c:spPr>
          <c:invertIfNegative val="0"/>
          <c:dLbls>
            <c:dLbl>
              <c:idx val="0"/>
              <c:layout>
                <c:manualLayout>
                  <c:x val="2.2780655473055946E-3"/>
                  <c:y val="-4.94103783675954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AF-40F3-9B4D-68B0E0F03979}"/>
                </c:ext>
              </c:extLst>
            </c:dLbl>
            <c:dLbl>
              <c:idx val="1"/>
              <c:layout>
                <c:manualLayout>
                  <c:x val="5.0554067706913572E-3"/>
                  <c:y val="1.32976268636637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AF-40F3-9B4D-68B0E0F03979}"/>
                </c:ext>
              </c:extLst>
            </c:dLbl>
            <c:numFmt formatCode="0.00" sourceLinked="0"/>
            <c:spPr>
              <a:noFill/>
              <a:ln>
                <a:noFill/>
              </a:ln>
              <a:effectLst/>
            </c:spPr>
            <c:txPr>
              <a:bodyPr/>
              <a:lstStyle/>
              <a:p>
                <a:pPr>
                  <a:defRPr lang="es-ES"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Hoja1!$H$72:$U$72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Hoja1!$H$74:$U$74</c:f>
              <c:numCache>
                <c:formatCode>General</c:formatCode>
                <c:ptCount val="14"/>
                <c:pt idx="0">
                  <c:v>4.009092106997028</c:v>
                </c:pt>
                <c:pt idx="1">
                  <c:v>6.2323820986298664</c:v>
                </c:pt>
                <c:pt idx="2">
                  <c:v>6.0612836624091253</c:v>
                </c:pt>
                <c:pt idx="3">
                  <c:v>3.7253592888020011</c:v>
                </c:pt>
                <c:pt idx="4">
                  <c:v>1.2444242255879692</c:v>
                </c:pt>
                <c:pt idx="5">
                  <c:v>5.3504959554162763</c:v>
                </c:pt>
                <c:pt idx="6">
                  <c:v>0.63953258852824657</c:v>
                </c:pt>
                <c:pt idx="7">
                  <c:v>3.8137920213385788</c:v>
                </c:pt>
                <c:pt idx="8">
                  <c:v>2.0659166265196478</c:v>
                </c:pt>
                <c:pt idx="9">
                  <c:v>2.5386865097003053</c:v>
                </c:pt>
                <c:pt idx="10">
                  <c:v>6.3416703522849698</c:v>
                </c:pt>
                <c:pt idx="11">
                  <c:v>5.1951977982799047</c:v>
                </c:pt>
                <c:pt idx="12">
                  <c:v>2.7203621877563995</c:v>
                </c:pt>
                <c:pt idx="13">
                  <c:v>3.6472116633787142</c:v>
                </c:pt>
              </c:numCache>
            </c:numRef>
          </c:val>
          <c:extLst>
            <c:ext xmlns:c16="http://schemas.microsoft.com/office/drawing/2014/chart" uri="{C3380CC4-5D6E-409C-BE32-E72D297353CC}">
              <c16:uniqueId val="{00000002-11AF-40F3-9B4D-68B0E0F03979}"/>
            </c:ext>
          </c:extLst>
        </c:ser>
        <c:dLbls>
          <c:showLegendKey val="0"/>
          <c:showVal val="0"/>
          <c:showCatName val="0"/>
          <c:showSerName val="0"/>
          <c:showPercent val="0"/>
          <c:showBubbleSize val="0"/>
        </c:dLbls>
        <c:gapWidth val="30"/>
        <c:axId val="328744728"/>
        <c:axId val="328745120"/>
      </c:barChart>
      <c:catAx>
        <c:axId val="328744728"/>
        <c:scaling>
          <c:orientation val="minMax"/>
        </c:scaling>
        <c:delete val="0"/>
        <c:axPos val="b"/>
        <c:numFmt formatCode="General" sourceLinked="1"/>
        <c:majorTickMark val="out"/>
        <c:minorTickMark val="none"/>
        <c:tickLblPos val="nextTo"/>
        <c:txPr>
          <a:bodyPr rot="0" vert="horz"/>
          <a:lstStyle/>
          <a:p>
            <a:pPr>
              <a:defRPr lang="es-ES"/>
            </a:pPr>
            <a:endParaRPr lang="es-MX"/>
          </a:p>
        </c:txPr>
        <c:crossAx val="328745120"/>
        <c:crosses val="autoZero"/>
        <c:auto val="1"/>
        <c:lblAlgn val="ctr"/>
        <c:lblOffset val="100"/>
        <c:tickLblSkip val="1"/>
        <c:tickMarkSkip val="1"/>
        <c:noMultiLvlLbl val="0"/>
      </c:catAx>
      <c:valAx>
        <c:axId val="328745120"/>
        <c:scaling>
          <c:orientation val="minMax"/>
        </c:scaling>
        <c:delete val="0"/>
        <c:axPos val="l"/>
        <c:numFmt formatCode="General" sourceLinked="1"/>
        <c:majorTickMark val="out"/>
        <c:minorTickMark val="none"/>
        <c:tickLblPos val="nextTo"/>
        <c:txPr>
          <a:bodyPr rot="0" vert="horz"/>
          <a:lstStyle/>
          <a:p>
            <a:pPr>
              <a:defRPr lang="es-ES"/>
            </a:pPr>
            <a:endParaRPr lang="es-MX"/>
          </a:p>
        </c:txPr>
        <c:crossAx val="32874472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0.17124</cdr:x>
      <cdr:y>0.01667</cdr:y>
    </cdr:from>
    <cdr:to>
      <cdr:x>0.84146</cdr:x>
      <cdr:y>0.37716</cdr:y>
    </cdr:to>
    <cdr:sp macro="" textlink="">
      <cdr:nvSpPr>
        <cdr:cNvPr id="2049" name="Text Box 1"/>
        <cdr:cNvSpPr txBox="1">
          <a:spLocks xmlns:a="http://schemas.openxmlformats.org/drawingml/2006/main" noChangeArrowheads="1"/>
        </cdr:cNvSpPr>
      </cdr:nvSpPr>
      <cdr:spPr bwMode="auto">
        <a:xfrm xmlns:a="http://schemas.openxmlformats.org/drawingml/2006/main">
          <a:off x="890559" y="49689"/>
          <a:ext cx="3485571" cy="1074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32004" rIns="0" bIns="0" anchor="t" upright="1">
          <a:spAutoFit/>
        </a:bodyPr>
        <a:lstStyle xmlns:a="http://schemas.openxmlformats.org/drawingml/2006/main"/>
        <a:p xmlns:a="http://schemas.openxmlformats.org/drawingml/2006/main">
          <a:pPr algn="ctr" rtl="1">
            <a:defRPr sz="1000"/>
          </a:pPr>
          <a:r>
            <a:rPr lang="es-ES" sz="1000" b="1" i="0" strike="noStrike">
              <a:solidFill>
                <a:srgbClr val="000000"/>
              </a:solidFill>
              <a:latin typeface="Trebuchet MS"/>
            </a:rPr>
            <a:t>Indice de Precios al Consumidor en la ciudad de Culiacán</a:t>
          </a:r>
        </a:p>
        <a:p xmlns:a="http://schemas.openxmlformats.org/drawingml/2006/main">
          <a:pPr algn="ctr" rtl="1">
            <a:defRPr sz="1000"/>
          </a:pPr>
          <a:r>
            <a:rPr lang="es-ES" sz="1000" b="1" i="0" strike="noStrike">
              <a:solidFill>
                <a:srgbClr val="000000"/>
              </a:solidFill>
              <a:latin typeface="Trebuchet MS"/>
            </a:rPr>
            <a:t>variación porcentual mensual a</a:t>
          </a:r>
          <a:r>
            <a:rPr lang="es-ES" sz="1000" b="1" i="0" strike="noStrike" baseline="0">
              <a:solidFill>
                <a:srgbClr val="000000"/>
              </a:solidFill>
              <a:latin typeface="Trebuchet MS"/>
            </a:rPr>
            <a:t>  septiembre de cada año</a:t>
          </a: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a:solidFill>
              <a:srgbClr val="000000"/>
            </a:solidFill>
            <a:latin typeface="Trebuchet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0.12345</cdr:x>
      <cdr:y>0.02994</cdr:y>
    </cdr:from>
    <cdr:to>
      <cdr:x>0.87655</cdr:x>
      <cdr:y>0.14925</cdr:y>
    </cdr:to>
    <cdr:sp macro="" textlink="">
      <cdr:nvSpPr>
        <cdr:cNvPr id="3073" name="Text Box 1"/>
        <cdr:cNvSpPr txBox="1">
          <a:spLocks xmlns:a="http://schemas.openxmlformats.org/drawingml/2006/main" noChangeArrowheads="1"/>
        </cdr:cNvSpPr>
      </cdr:nvSpPr>
      <cdr:spPr bwMode="auto">
        <a:xfrm xmlns:a="http://schemas.openxmlformats.org/drawingml/2006/main">
          <a:off x="577348" y="82836"/>
          <a:ext cx="3522079" cy="3300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32004" rIns="0" bIns="0" anchor="t" upright="1">
          <a:spAutoFit/>
        </a:bodyPr>
        <a:lstStyle xmlns:a="http://schemas.openxmlformats.org/drawingml/2006/main"/>
        <a:p xmlns:a="http://schemas.openxmlformats.org/drawingml/2006/main">
          <a:pPr algn="ctr" rtl="1">
            <a:defRPr sz="1000"/>
          </a:pPr>
          <a:r>
            <a:rPr lang="es-ES" sz="1000" b="1" i="0" strike="noStrike">
              <a:solidFill>
                <a:srgbClr val="000000"/>
              </a:solidFill>
              <a:latin typeface="Trebuchet MS"/>
            </a:rPr>
            <a:t>Indice de Precios al Consumidor en la ciudad de Culiacán,</a:t>
          </a:r>
          <a:r>
            <a:rPr lang="es-ES" sz="1000" b="1" i="0" strike="noStrike" baseline="0">
              <a:solidFill>
                <a:srgbClr val="000000"/>
              </a:solidFill>
              <a:latin typeface="Trebuchet MS"/>
            </a:rPr>
            <a:t> </a:t>
          </a:r>
        </a:p>
        <a:p xmlns:a="http://schemas.openxmlformats.org/drawingml/2006/main">
          <a:pPr algn="ctr" rtl="1">
            <a:defRPr sz="1000"/>
          </a:pPr>
          <a:r>
            <a:rPr lang="es-ES" sz="1000" b="1" i="0" strike="noStrike">
              <a:solidFill>
                <a:srgbClr val="000000"/>
              </a:solidFill>
              <a:latin typeface="Trebuchet MS"/>
            </a:rPr>
            <a:t>Variación porcentual anual</a:t>
          </a:r>
          <a:r>
            <a:rPr lang="es-ES" sz="1000" b="1" i="0" strike="noStrike" baseline="0">
              <a:solidFill>
                <a:srgbClr val="000000"/>
              </a:solidFill>
              <a:latin typeface="Trebuchet MS"/>
            </a:rPr>
            <a:t> a septiembre</a:t>
          </a:r>
          <a:endParaRPr lang="es-ES" sz="1000" b="1" i="0" strike="noStrike">
            <a:solidFill>
              <a:srgbClr val="000000"/>
            </a:solidFill>
            <a:latin typeface="Trebuchet M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7133-FE23-45DE-9A70-80702C85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15295</Words>
  <Characters>84123</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dc:creator>
  <cp:lastModifiedBy>User</cp:lastModifiedBy>
  <cp:revision>2</cp:revision>
  <cp:lastPrinted>2020-11-12T16:28:00Z</cp:lastPrinted>
  <dcterms:created xsi:type="dcterms:W3CDTF">2020-11-17T19:24:00Z</dcterms:created>
  <dcterms:modified xsi:type="dcterms:W3CDTF">2020-11-17T19:24:00Z</dcterms:modified>
</cp:coreProperties>
</file>