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D6171" w14:textId="77777777" w:rsidR="00366AF6" w:rsidRPr="006B0DEC" w:rsidRDefault="00366AF6" w:rsidP="006B0DEC">
      <w:pPr>
        <w:rPr>
          <w:sz w:val="28"/>
          <w:szCs w:val="28"/>
        </w:rPr>
      </w:pPr>
      <w:bookmarkStart w:id="0" w:name="_GoBack"/>
      <w:bookmarkEnd w:id="0"/>
    </w:p>
    <w:p w14:paraId="32160BE6" w14:textId="77777777" w:rsidR="00212F61" w:rsidRDefault="00212F61" w:rsidP="00366AF6">
      <w:pPr>
        <w:jc w:val="center"/>
        <w:rPr>
          <w:b/>
          <w:sz w:val="28"/>
          <w:szCs w:val="28"/>
        </w:rPr>
      </w:pPr>
    </w:p>
    <w:p w14:paraId="4CDA65BB" w14:textId="77777777" w:rsidR="00212F61" w:rsidRDefault="00212F61" w:rsidP="00366AF6">
      <w:pPr>
        <w:jc w:val="center"/>
        <w:rPr>
          <w:b/>
          <w:sz w:val="28"/>
          <w:szCs w:val="28"/>
        </w:rPr>
      </w:pPr>
    </w:p>
    <w:p w14:paraId="7772E142" w14:textId="77777777" w:rsidR="00212F61" w:rsidRDefault="00212F61" w:rsidP="00366AF6">
      <w:pPr>
        <w:jc w:val="center"/>
        <w:rPr>
          <w:b/>
          <w:sz w:val="28"/>
          <w:szCs w:val="28"/>
        </w:rPr>
      </w:pPr>
    </w:p>
    <w:p w14:paraId="290FE380" w14:textId="717D8561" w:rsidR="00366AF6" w:rsidRPr="001C6DF9" w:rsidRDefault="00366AF6" w:rsidP="00366AF6">
      <w:pPr>
        <w:jc w:val="center"/>
        <w:rPr>
          <w:b/>
          <w:sz w:val="28"/>
          <w:szCs w:val="28"/>
        </w:rPr>
      </w:pPr>
      <w:r w:rsidRPr="001C6DF9">
        <w:rPr>
          <w:b/>
          <w:sz w:val="28"/>
          <w:szCs w:val="28"/>
        </w:rPr>
        <w:t>INFORME SOBRE LAS OBRAS Y ACCIONES DE GOBIERNO</w:t>
      </w:r>
      <w:r>
        <w:rPr>
          <w:b/>
          <w:sz w:val="28"/>
          <w:szCs w:val="28"/>
        </w:rPr>
        <w:t xml:space="preserve"> E INFORME DE LAS SITUACIÓN QUE GUARDA LA SECRETARÍA DE PESCA Y ACUACULTURA</w:t>
      </w:r>
    </w:p>
    <w:p w14:paraId="619768DC" w14:textId="77777777" w:rsidR="00366AF6" w:rsidRDefault="00366AF6" w:rsidP="00366AF6">
      <w:pPr>
        <w:jc w:val="center"/>
        <w:rPr>
          <w:b/>
        </w:rPr>
      </w:pPr>
    </w:p>
    <w:p w14:paraId="089EA514" w14:textId="77777777" w:rsidR="00366AF6" w:rsidRDefault="00366AF6" w:rsidP="00366AF6">
      <w:pPr>
        <w:jc w:val="center"/>
        <w:rPr>
          <w:b/>
        </w:rPr>
      </w:pPr>
    </w:p>
    <w:p w14:paraId="492FABFC" w14:textId="77777777" w:rsidR="00366AF6" w:rsidRDefault="00366AF6" w:rsidP="00366AF6">
      <w:pPr>
        <w:jc w:val="center"/>
        <w:rPr>
          <w:b/>
        </w:rPr>
      </w:pPr>
    </w:p>
    <w:p w14:paraId="44E5B378" w14:textId="77777777" w:rsidR="00366AF6" w:rsidRDefault="00366AF6" w:rsidP="00366AF6">
      <w:pPr>
        <w:spacing w:after="200" w:line="276" w:lineRule="auto"/>
        <w:jc w:val="both"/>
      </w:pPr>
      <w:r>
        <w:t xml:space="preserve">Con fecha 24 de Febrero del presente, se emitió el dictamen mediante el cual se aprobó la estructura organizacional de la Secretaría de Pesca y Acuacultura. Cabe señalar, qué el </w:t>
      </w:r>
      <w:r w:rsidRPr="001C6DF9">
        <w:t>Reglamento Interior de la Secretaría de Pesca y Acuacultura</w:t>
      </w:r>
      <w:r>
        <w:t xml:space="preserve"> se encuentra en proceso de firmas de los funcionarios estatales, en espera de su publicación en el Periódico Oficial del Estado.</w:t>
      </w:r>
    </w:p>
    <w:p w14:paraId="3B22E307" w14:textId="77777777" w:rsidR="00366AF6" w:rsidRPr="00F95A80" w:rsidRDefault="00366AF6" w:rsidP="00366AF6">
      <w:pPr>
        <w:pStyle w:val="Prrafodelista"/>
      </w:pPr>
    </w:p>
    <w:p w14:paraId="446C549E" w14:textId="77777777" w:rsidR="00366AF6" w:rsidRDefault="00366AF6" w:rsidP="00366AF6">
      <w:pPr>
        <w:spacing w:after="200" w:line="276" w:lineRule="auto"/>
        <w:jc w:val="both"/>
      </w:pPr>
      <w:r>
        <w:t xml:space="preserve">Se abrió la </w:t>
      </w:r>
      <w:r w:rsidRPr="001C6DF9">
        <w:t xml:space="preserve">Convocatoria para la apertura y cierre de las ventanillas de los Programas de </w:t>
      </w:r>
      <w:r>
        <w:t>“</w:t>
      </w:r>
      <w:r w:rsidRPr="001C6DF9">
        <w:t>Concurrencia</w:t>
      </w:r>
      <w:r>
        <w:t xml:space="preserve"> con Entidades Federativas”</w:t>
      </w:r>
      <w:r w:rsidRPr="001C6DF9">
        <w:t xml:space="preserve"> y </w:t>
      </w:r>
      <w:r>
        <w:t>“</w:t>
      </w:r>
      <w:proofErr w:type="spellStart"/>
      <w:r w:rsidRPr="001C6DF9">
        <w:t>Extensionismo</w:t>
      </w:r>
      <w:proofErr w:type="spellEnd"/>
      <w:r>
        <w:t xml:space="preserve"> y Desarrollo de Capacidades”,  dichos programas se explican de la siguiente manera: </w:t>
      </w:r>
    </w:p>
    <w:p w14:paraId="0AF6F968" w14:textId="77777777" w:rsidR="00366AF6" w:rsidRDefault="00366AF6" w:rsidP="00366AF6">
      <w:pPr>
        <w:pStyle w:val="Prrafodelista"/>
        <w:jc w:val="both"/>
      </w:pPr>
      <w:r>
        <w:t>El objetivo general de estos programas es que las unidades de producción primaria del sector pesquero y acuícola en las entidades federativas incrementen su productividad, dichos programas están integrados con los siguientes componentes:</w:t>
      </w:r>
    </w:p>
    <w:p w14:paraId="3FCAD39D" w14:textId="77777777" w:rsidR="00366AF6" w:rsidRDefault="00366AF6" w:rsidP="00366AF6">
      <w:pPr>
        <w:pStyle w:val="Prrafodelista"/>
        <w:jc w:val="both"/>
      </w:pPr>
    </w:p>
    <w:p w14:paraId="6324F6CA" w14:textId="77777777" w:rsidR="00366AF6" w:rsidRDefault="00366AF6" w:rsidP="00366AF6">
      <w:pPr>
        <w:pStyle w:val="Prrafodelista"/>
        <w:jc w:val="both"/>
      </w:pPr>
      <w:r>
        <w:t>Infraestructura, Equipamiento y Maquinaria, que comprende: sistema de cultivo, jaulas, tinas, estanques, bombas, aireadores, filtros, equipos de medición de parámetros, alimentadores, invernaderos, bodega de alimento, maternidades, así como instalaciones hidráulicas, eléctricas de media tensión, aireación, malla sombra, tratamiento de agua de recirculación y todos aquellos relacionados con el proyecto.</w:t>
      </w:r>
    </w:p>
    <w:p w14:paraId="1C1C8B89" w14:textId="77777777" w:rsidR="00366AF6" w:rsidRPr="00A64825" w:rsidRDefault="00366AF6" w:rsidP="00366AF6">
      <w:pPr>
        <w:pStyle w:val="Prrafodelista"/>
        <w:jc w:val="both"/>
      </w:pPr>
    </w:p>
    <w:p w14:paraId="0E21CCAE" w14:textId="77777777" w:rsidR="00366AF6" w:rsidRDefault="00366AF6" w:rsidP="00366AF6">
      <w:pPr>
        <w:pStyle w:val="Prrafodelista"/>
        <w:jc w:val="both"/>
      </w:pPr>
      <w:r w:rsidRPr="00F95A80">
        <w:t xml:space="preserve">El 17 de Febrero se reunió el Consejo Estatal de Desarrollo Rural Sustentable, donde se dio a conocer la fecha de apertura de la ventanilla de los Programas de </w:t>
      </w:r>
      <w:r>
        <w:t>“</w:t>
      </w:r>
      <w:r w:rsidRPr="00F95A80">
        <w:t>Concurrencia</w:t>
      </w:r>
      <w:r>
        <w:t xml:space="preserve"> con Entidades Federativas”</w:t>
      </w:r>
      <w:r w:rsidRPr="00F95A80">
        <w:t xml:space="preserve"> para Proyectos Productivos Estratégicos de Pesca y Proyectos Product</w:t>
      </w:r>
      <w:r>
        <w:t>ivos Estratégicos de Acuacultura y se cerró el día 20 de Marzo del presente en base al Acuerdo tomado por el Consejo.</w:t>
      </w:r>
    </w:p>
    <w:p w14:paraId="41B5F4BF" w14:textId="77777777" w:rsidR="00366AF6" w:rsidRDefault="00366AF6" w:rsidP="00366AF6">
      <w:pPr>
        <w:pStyle w:val="Prrafodelista"/>
        <w:jc w:val="both"/>
      </w:pPr>
    </w:p>
    <w:p w14:paraId="7C7B0C70" w14:textId="77777777" w:rsidR="00366AF6" w:rsidRDefault="00366AF6" w:rsidP="00366AF6">
      <w:pPr>
        <w:pStyle w:val="Prrafodelista"/>
        <w:jc w:val="both"/>
      </w:pPr>
      <w:r>
        <w:t>De los cuales se recibieron  287 proyectos, mismos que serán revisados y analizados por un Comité Técnico especializado, conformado por Gobierno del Estado y SAGARPA a través de la Subdelegación de Pesca, por un total de $51, 784,500.00 pesos, distribuidos de la siguiente manera:</w:t>
      </w:r>
    </w:p>
    <w:p w14:paraId="179928B7" w14:textId="77777777" w:rsidR="00366AF6" w:rsidRDefault="00366AF6" w:rsidP="00366AF6">
      <w:pPr>
        <w:pStyle w:val="Prrafodelista"/>
        <w:jc w:val="both"/>
      </w:pPr>
    </w:p>
    <w:p w14:paraId="69BBAA0D" w14:textId="77777777" w:rsidR="00366AF6" w:rsidRDefault="00366AF6" w:rsidP="00366AF6">
      <w:pPr>
        <w:pStyle w:val="Prrafodelista"/>
        <w:jc w:val="both"/>
      </w:pPr>
    </w:p>
    <w:p w14:paraId="5F77B00E" w14:textId="77777777" w:rsidR="00366AF6" w:rsidRDefault="00366AF6" w:rsidP="00366AF6">
      <w:pPr>
        <w:pStyle w:val="Prrafodelista"/>
        <w:jc w:val="both"/>
      </w:pPr>
    </w:p>
    <w:p w14:paraId="0DA9E22E" w14:textId="77777777" w:rsidR="00366AF6" w:rsidRDefault="00366AF6" w:rsidP="00366AF6">
      <w:pPr>
        <w:pStyle w:val="Prrafodelista"/>
        <w:jc w:val="both"/>
      </w:pPr>
    </w:p>
    <w:p w14:paraId="4956B110" w14:textId="77777777" w:rsidR="00366AF6" w:rsidRDefault="00366AF6" w:rsidP="00366AF6">
      <w:pPr>
        <w:pStyle w:val="Prrafodelista"/>
        <w:jc w:val="both"/>
      </w:pPr>
    </w:p>
    <w:p w14:paraId="1DD38F0D" w14:textId="77777777" w:rsidR="00366AF6" w:rsidRDefault="00366AF6" w:rsidP="00366AF6">
      <w:pPr>
        <w:pStyle w:val="Prrafodelista"/>
        <w:jc w:val="both"/>
      </w:pPr>
    </w:p>
    <w:tbl>
      <w:tblPr>
        <w:tblStyle w:val="Tablaconcuadrcula"/>
        <w:tblW w:w="0" w:type="auto"/>
        <w:tblInd w:w="720" w:type="dxa"/>
        <w:tblLook w:val="04A0" w:firstRow="1" w:lastRow="0" w:firstColumn="1" w:lastColumn="0" w:noHBand="0" w:noVBand="1"/>
      </w:tblPr>
      <w:tblGrid>
        <w:gridCol w:w="4551"/>
        <w:gridCol w:w="1699"/>
        <w:gridCol w:w="1660"/>
      </w:tblGrid>
      <w:tr w:rsidR="00366AF6" w14:paraId="7C1C3FD8" w14:textId="77777777" w:rsidTr="00366AF6">
        <w:tc>
          <w:tcPr>
            <w:tcW w:w="4633" w:type="dxa"/>
            <w:vAlign w:val="center"/>
          </w:tcPr>
          <w:p w14:paraId="5823B033" w14:textId="77777777" w:rsidR="00366AF6" w:rsidRPr="003617DE" w:rsidRDefault="00366AF6" w:rsidP="00366AF6">
            <w:pPr>
              <w:pStyle w:val="Prrafodelista"/>
              <w:ind w:left="0"/>
              <w:jc w:val="center"/>
              <w:rPr>
                <w:b/>
                <w:sz w:val="24"/>
                <w:szCs w:val="24"/>
              </w:rPr>
            </w:pPr>
            <w:r w:rsidRPr="003617DE">
              <w:rPr>
                <w:b/>
                <w:sz w:val="24"/>
                <w:szCs w:val="24"/>
              </w:rPr>
              <w:t>CONCEPTO DE APOYO</w:t>
            </w:r>
          </w:p>
        </w:tc>
        <w:tc>
          <w:tcPr>
            <w:tcW w:w="1701" w:type="dxa"/>
          </w:tcPr>
          <w:p w14:paraId="6C2B837E" w14:textId="77777777" w:rsidR="00366AF6" w:rsidRPr="003617DE" w:rsidRDefault="00366AF6" w:rsidP="00366AF6">
            <w:pPr>
              <w:pStyle w:val="Prrafodelista"/>
              <w:ind w:left="0"/>
              <w:jc w:val="center"/>
              <w:rPr>
                <w:b/>
                <w:sz w:val="24"/>
                <w:szCs w:val="24"/>
              </w:rPr>
            </w:pPr>
            <w:r>
              <w:rPr>
                <w:b/>
                <w:sz w:val="24"/>
                <w:szCs w:val="24"/>
              </w:rPr>
              <w:t>CANTIDAD</w:t>
            </w:r>
            <w:r w:rsidRPr="003617DE">
              <w:rPr>
                <w:b/>
                <w:sz w:val="24"/>
                <w:szCs w:val="24"/>
              </w:rPr>
              <w:t xml:space="preserve"> DE PROYECTOS</w:t>
            </w:r>
          </w:p>
        </w:tc>
        <w:tc>
          <w:tcPr>
            <w:tcW w:w="1666" w:type="dxa"/>
          </w:tcPr>
          <w:p w14:paraId="5C607959" w14:textId="77777777" w:rsidR="00366AF6" w:rsidRPr="003617DE" w:rsidRDefault="00366AF6" w:rsidP="00366AF6">
            <w:pPr>
              <w:pStyle w:val="Prrafodelista"/>
              <w:ind w:left="0"/>
              <w:jc w:val="center"/>
              <w:rPr>
                <w:b/>
                <w:sz w:val="24"/>
                <w:szCs w:val="24"/>
              </w:rPr>
            </w:pPr>
            <w:r w:rsidRPr="003617DE">
              <w:rPr>
                <w:b/>
                <w:sz w:val="24"/>
                <w:szCs w:val="24"/>
              </w:rPr>
              <w:t>IMPORTE</w:t>
            </w:r>
          </w:p>
        </w:tc>
      </w:tr>
      <w:tr w:rsidR="00366AF6" w14:paraId="35FBAEC4" w14:textId="77777777" w:rsidTr="00366AF6">
        <w:tc>
          <w:tcPr>
            <w:tcW w:w="4633" w:type="dxa"/>
          </w:tcPr>
          <w:p w14:paraId="62CA2C9D" w14:textId="77777777" w:rsidR="00366AF6" w:rsidRDefault="00366AF6" w:rsidP="00366AF6">
            <w:pPr>
              <w:pStyle w:val="Prrafodelista"/>
              <w:ind w:left="0"/>
              <w:jc w:val="both"/>
              <w:rPr>
                <w:sz w:val="24"/>
                <w:szCs w:val="24"/>
              </w:rPr>
            </w:pPr>
            <w:r>
              <w:rPr>
                <w:sz w:val="24"/>
                <w:szCs w:val="24"/>
              </w:rPr>
              <w:t>Proyecto productivo estratégico estatal de pesca</w:t>
            </w:r>
          </w:p>
        </w:tc>
        <w:tc>
          <w:tcPr>
            <w:tcW w:w="1701" w:type="dxa"/>
          </w:tcPr>
          <w:p w14:paraId="011E79A7" w14:textId="77777777" w:rsidR="00366AF6" w:rsidRDefault="00366AF6" w:rsidP="00366AF6">
            <w:pPr>
              <w:pStyle w:val="Prrafodelista"/>
              <w:ind w:left="0"/>
              <w:jc w:val="center"/>
              <w:rPr>
                <w:sz w:val="24"/>
                <w:szCs w:val="24"/>
              </w:rPr>
            </w:pPr>
            <w:r>
              <w:rPr>
                <w:sz w:val="24"/>
                <w:szCs w:val="24"/>
              </w:rPr>
              <w:t>72</w:t>
            </w:r>
          </w:p>
        </w:tc>
        <w:tc>
          <w:tcPr>
            <w:tcW w:w="1666" w:type="dxa"/>
          </w:tcPr>
          <w:p w14:paraId="092D9D64" w14:textId="77777777" w:rsidR="00366AF6" w:rsidRDefault="00366AF6" w:rsidP="00366AF6">
            <w:pPr>
              <w:pStyle w:val="Prrafodelista"/>
              <w:ind w:left="0"/>
              <w:jc w:val="right"/>
              <w:rPr>
                <w:sz w:val="24"/>
                <w:szCs w:val="24"/>
              </w:rPr>
            </w:pPr>
            <w:r>
              <w:rPr>
                <w:sz w:val="24"/>
                <w:szCs w:val="24"/>
              </w:rPr>
              <w:t>12,946,125</w:t>
            </w:r>
          </w:p>
        </w:tc>
      </w:tr>
      <w:tr w:rsidR="00366AF6" w14:paraId="55DF379C" w14:textId="77777777" w:rsidTr="00366AF6">
        <w:tc>
          <w:tcPr>
            <w:tcW w:w="4633" w:type="dxa"/>
          </w:tcPr>
          <w:p w14:paraId="136C6558" w14:textId="77777777" w:rsidR="00366AF6" w:rsidRDefault="00366AF6" w:rsidP="00366AF6">
            <w:pPr>
              <w:pStyle w:val="Prrafodelista"/>
              <w:ind w:left="0"/>
              <w:jc w:val="both"/>
              <w:rPr>
                <w:sz w:val="24"/>
                <w:szCs w:val="24"/>
              </w:rPr>
            </w:pPr>
            <w:r>
              <w:rPr>
                <w:sz w:val="24"/>
                <w:szCs w:val="24"/>
              </w:rPr>
              <w:t>Proyecto productivo estratégico estatal acuícola</w:t>
            </w:r>
          </w:p>
        </w:tc>
        <w:tc>
          <w:tcPr>
            <w:tcW w:w="1701" w:type="dxa"/>
          </w:tcPr>
          <w:p w14:paraId="40788B61" w14:textId="77777777" w:rsidR="00366AF6" w:rsidRDefault="00366AF6" w:rsidP="00366AF6">
            <w:pPr>
              <w:pStyle w:val="Prrafodelista"/>
              <w:ind w:left="0"/>
              <w:jc w:val="center"/>
              <w:rPr>
                <w:sz w:val="24"/>
                <w:szCs w:val="24"/>
              </w:rPr>
            </w:pPr>
            <w:r>
              <w:rPr>
                <w:sz w:val="24"/>
                <w:szCs w:val="24"/>
              </w:rPr>
              <w:t>72</w:t>
            </w:r>
          </w:p>
        </w:tc>
        <w:tc>
          <w:tcPr>
            <w:tcW w:w="1666" w:type="dxa"/>
          </w:tcPr>
          <w:p w14:paraId="6B87DABB" w14:textId="77777777" w:rsidR="00366AF6" w:rsidRDefault="00366AF6" w:rsidP="00366AF6">
            <w:pPr>
              <w:pStyle w:val="Prrafodelista"/>
              <w:ind w:left="0"/>
              <w:jc w:val="right"/>
              <w:rPr>
                <w:sz w:val="24"/>
                <w:szCs w:val="24"/>
              </w:rPr>
            </w:pPr>
            <w:r>
              <w:rPr>
                <w:sz w:val="24"/>
                <w:szCs w:val="24"/>
              </w:rPr>
              <w:t>12,946,125</w:t>
            </w:r>
          </w:p>
        </w:tc>
      </w:tr>
      <w:tr w:rsidR="00366AF6" w14:paraId="3AA7146E" w14:textId="77777777" w:rsidTr="00366AF6">
        <w:tc>
          <w:tcPr>
            <w:tcW w:w="4633" w:type="dxa"/>
          </w:tcPr>
          <w:p w14:paraId="6F65494A" w14:textId="77777777" w:rsidR="00366AF6" w:rsidRDefault="00366AF6" w:rsidP="00366AF6">
            <w:pPr>
              <w:pStyle w:val="Prrafodelista"/>
              <w:ind w:left="0"/>
              <w:jc w:val="both"/>
              <w:rPr>
                <w:sz w:val="24"/>
                <w:szCs w:val="24"/>
              </w:rPr>
            </w:pPr>
            <w:r>
              <w:rPr>
                <w:sz w:val="24"/>
                <w:szCs w:val="24"/>
              </w:rPr>
              <w:t>Proyecto productivo de pesca</w:t>
            </w:r>
          </w:p>
        </w:tc>
        <w:tc>
          <w:tcPr>
            <w:tcW w:w="1701" w:type="dxa"/>
          </w:tcPr>
          <w:p w14:paraId="1BB9921F" w14:textId="77777777" w:rsidR="00366AF6" w:rsidRDefault="00366AF6" w:rsidP="00366AF6">
            <w:pPr>
              <w:pStyle w:val="Prrafodelista"/>
              <w:ind w:left="0"/>
              <w:jc w:val="center"/>
              <w:rPr>
                <w:sz w:val="24"/>
                <w:szCs w:val="24"/>
              </w:rPr>
            </w:pPr>
            <w:r>
              <w:rPr>
                <w:sz w:val="24"/>
                <w:szCs w:val="24"/>
              </w:rPr>
              <w:t>72</w:t>
            </w:r>
          </w:p>
        </w:tc>
        <w:tc>
          <w:tcPr>
            <w:tcW w:w="1666" w:type="dxa"/>
          </w:tcPr>
          <w:p w14:paraId="39277B04" w14:textId="77777777" w:rsidR="00366AF6" w:rsidRDefault="00366AF6" w:rsidP="00366AF6">
            <w:pPr>
              <w:pStyle w:val="Prrafodelista"/>
              <w:ind w:left="0"/>
              <w:jc w:val="right"/>
              <w:rPr>
                <w:sz w:val="24"/>
                <w:szCs w:val="24"/>
              </w:rPr>
            </w:pPr>
            <w:r>
              <w:rPr>
                <w:sz w:val="24"/>
                <w:szCs w:val="24"/>
              </w:rPr>
              <w:t>12,946,125</w:t>
            </w:r>
          </w:p>
        </w:tc>
      </w:tr>
      <w:tr w:rsidR="00366AF6" w14:paraId="6E37D7A9" w14:textId="77777777" w:rsidTr="00366AF6">
        <w:tc>
          <w:tcPr>
            <w:tcW w:w="4633" w:type="dxa"/>
          </w:tcPr>
          <w:p w14:paraId="36C7A0D8" w14:textId="77777777" w:rsidR="00366AF6" w:rsidRDefault="00366AF6" w:rsidP="00366AF6">
            <w:pPr>
              <w:pStyle w:val="Prrafodelista"/>
              <w:ind w:left="0"/>
              <w:jc w:val="both"/>
              <w:rPr>
                <w:sz w:val="24"/>
                <w:szCs w:val="24"/>
              </w:rPr>
            </w:pPr>
            <w:r>
              <w:rPr>
                <w:sz w:val="24"/>
                <w:szCs w:val="24"/>
              </w:rPr>
              <w:t>Proyecto productivo acuícola</w:t>
            </w:r>
          </w:p>
        </w:tc>
        <w:tc>
          <w:tcPr>
            <w:tcW w:w="1701" w:type="dxa"/>
          </w:tcPr>
          <w:p w14:paraId="237252FD" w14:textId="77777777" w:rsidR="00366AF6" w:rsidRDefault="00366AF6" w:rsidP="00366AF6">
            <w:pPr>
              <w:pStyle w:val="Prrafodelista"/>
              <w:ind w:left="0"/>
              <w:jc w:val="center"/>
              <w:rPr>
                <w:sz w:val="24"/>
                <w:szCs w:val="24"/>
              </w:rPr>
            </w:pPr>
            <w:r>
              <w:rPr>
                <w:sz w:val="24"/>
                <w:szCs w:val="24"/>
              </w:rPr>
              <w:t>71</w:t>
            </w:r>
          </w:p>
        </w:tc>
        <w:tc>
          <w:tcPr>
            <w:tcW w:w="1666" w:type="dxa"/>
          </w:tcPr>
          <w:p w14:paraId="73E6898D" w14:textId="77777777" w:rsidR="00366AF6" w:rsidRDefault="00366AF6" w:rsidP="00366AF6">
            <w:pPr>
              <w:pStyle w:val="Prrafodelista"/>
              <w:ind w:left="0"/>
              <w:jc w:val="right"/>
              <w:rPr>
                <w:sz w:val="24"/>
                <w:szCs w:val="24"/>
              </w:rPr>
            </w:pPr>
            <w:r>
              <w:rPr>
                <w:sz w:val="24"/>
                <w:szCs w:val="24"/>
              </w:rPr>
              <w:t>12,946,125</w:t>
            </w:r>
          </w:p>
        </w:tc>
      </w:tr>
      <w:tr w:rsidR="00366AF6" w14:paraId="03F6DF84" w14:textId="77777777" w:rsidTr="00366AF6">
        <w:tc>
          <w:tcPr>
            <w:tcW w:w="6334" w:type="dxa"/>
            <w:gridSpan w:val="2"/>
          </w:tcPr>
          <w:p w14:paraId="6F596EE5" w14:textId="77777777" w:rsidR="00366AF6" w:rsidRPr="003617DE" w:rsidRDefault="00366AF6" w:rsidP="00366AF6">
            <w:pPr>
              <w:pStyle w:val="Prrafodelista"/>
              <w:tabs>
                <w:tab w:val="center" w:pos="3059"/>
                <w:tab w:val="left" w:pos="4577"/>
                <w:tab w:val="left" w:pos="4669"/>
              </w:tabs>
              <w:ind w:left="0"/>
              <w:rPr>
                <w:b/>
                <w:sz w:val="24"/>
                <w:szCs w:val="24"/>
              </w:rPr>
            </w:pPr>
            <w:r>
              <w:rPr>
                <w:b/>
                <w:sz w:val="24"/>
                <w:szCs w:val="24"/>
              </w:rPr>
              <w:tab/>
            </w:r>
            <w:r w:rsidRPr="003617DE">
              <w:rPr>
                <w:b/>
                <w:sz w:val="24"/>
                <w:szCs w:val="24"/>
              </w:rPr>
              <w:t>TOTAL</w:t>
            </w:r>
            <w:r>
              <w:rPr>
                <w:b/>
                <w:sz w:val="24"/>
                <w:szCs w:val="24"/>
              </w:rPr>
              <w:tab/>
              <w:t xml:space="preserve">            287</w:t>
            </w:r>
            <w:r>
              <w:rPr>
                <w:b/>
                <w:sz w:val="24"/>
                <w:szCs w:val="24"/>
              </w:rPr>
              <w:tab/>
            </w:r>
          </w:p>
        </w:tc>
        <w:tc>
          <w:tcPr>
            <w:tcW w:w="1666" w:type="dxa"/>
          </w:tcPr>
          <w:p w14:paraId="550034CF" w14:textId="77777777" w:rsidR="00366AF6" w:rsidRPr="003617DE" w:rsidRDefault="00366AF6" w:rsidP="00366AF6">
            <w:pPr>
              <w:pStyle w:val="Prrafodelista"/>
              <w:ind w:left="0"/>
              <w:jc w:val="right"/>
              <w:rPr>
                <w:b/>
                <w:sz w:val="24"/>
                <w:szCs w:val="24"/>
              </w:rPr>
            </w:pPr>
            <w:r w:rsidRPr="003617DE">
              <w:rPr>
                <w:b/>
                <w:sz w:val="24"/>
                <w:szCs w:val="24"/>
              </w:rPr>
              <w:t>51,784,500</w:t>
            </w:r>
          </w:p>
        </w:tc>
      </w:tr>
    </w:tbl>
    <w:p w14:paraId="30E97729" w14:textId="77777777" w:rsidR="00366AF6" w:rsidRDefault="00366AF6" w:rsidP="00366AF6">
      <w:pPr>
        <w:pStyle w:val="Prrafodelista"/>
        <w:jc w:val="both"/>
      </w:pPr>
    </w:p>
    <w:p w14:paraId="078D402E" w14:textId="77777777" w:rsidR="00366AF6" w:rsidRPr="001C6DF9" w:rsidRDefault="00366AF6" w:rsidP="00366AF6">
      <w:pPr>
        <w:pStyle w:val="Prrafodelista"/>
        <w:ind w:left="284"/>
        <w:jc w:val="both"/>
      </w:pPr>
    </w:p>
    <w:p w14:paraId="50E3E7D9" w14:textId="77777777" w:rsidR="00366AF6" w:rsidRPr="001C6DF9" w:rsidRDefault="00366AF6" w:rsidP="00366AF6">
      <w:pPr>
        <w:pStyle w:val="Prrafodelista"/>
        <w:numPr>
          <w:ilvl w:val="0"/>
          <w:numId w:val="2"/>
        </w:numPr>
        <w:spacing w:after="200" w:line="276" w:lineRule="auto"/>
        <w:jc w:val="both"/>
      </w:pPr>
      <w:r w:rsidRPr="001C6DF9">
        <w:t>Aceptación de participación al Programa de Modernización de Embarcaciones Menores</w:t>
      </w:r>
    </w:p>
    <w:p w14:paraId="52424014" w14:textId="77777777" w:rsidR="00366AF6" w:rsidRPr="001C6DF9" w:rsidRDefault="00366AF6" w:rsidP="00366AF6">
      <w:pPr>
        <w:pStyle w:val="Prrafodelista"/>
        <w:numPr>
          <w:ilvl w:val="0"/>
          <w:numId w:val="3"/>
        </w:numPr>
        <w:spacing w:after="200" w:line="276" w:lineRule="auto"/>
        <w:jc w:val="both"/>
      </w:pPr>
      <w:r w:rsidRPr="001C6DF9">
        <w:t>Sustitución de motor dentro o fuera de borda de hasta 115HP.</w:t>
      </w:r>
    </w:p>
    <w:p w14:paraId="52A12DB6" w14:textId="77777777" w:rsidR="00366AF6" w:rsidRPr="001C6DF9" w:rsidRDefault="00366AF6" w:rsidP="00366AF6">
      <w:pPr>
        <w:pStyle w:val="Prrafodelista"/>
        <w:ind w:left="1080"/>
        <w:jc w:val="both"/>
      </w:pPr>
      <w:r w:rsidRPr="001C6DF9">
        <w:t>En donde el Gobierno Federal se compromete a aportar recursos de $1.67 pesos por cada peso que aporte el Gobierno del Estado, mismo que ha aceptado participar en este Programa con una aportación de 25 millones de pesos. Por lo tanto la aportación del Gobierno Federal a través de la SAGARPA será de 41 millones 750 mil pesos.</w:t>
      </w:r>
    </w:p>
    <w:p w14:paraId="0C636EEB" w14:textId="77777777" w:rsidR="00366AF6" w:rsidRPr="001C6DF9" w:rsidRDefault="00366AF6" w:rsidP="00366AF6">
      <w:pPr>
        <w:pStyle w:val="Prrafodelista"/>
        <w:ind w:left="1080"/>
        <w:jc w:val="both"/>
      </w:pPr>
    </w:p>
    <w:p w14:paraId="5DA2F201" w14:textId="77777777" w:rsidR="00366AF6" w:rsidRPr="001C6DF9" w:rsidRDefault="00366AF6" w:rsidP="00366AF6">
      <w:pPr>
        <w:pStyle w:val="Prrafodelista"/>
        <w:numPr>
          <w:ilvl w:val="0"/>
          <w:numId w:val="3"/>
        </w:numPr>
        <w:spacing w:after="200" w:line="276" w:lineRule="auto"/>
        <w:jc w:val="both"/>
      </w:pPr>
      <w:r w:rsidRPr="001C6DF9">
        <w:t>Sustitución de embarcación menor.</w:t>
      </w:r>
    </w:p>
    <w:p w14:paraId="4F2AF8E3" w14:textId="77777777" w:rsidR="00366AF6" w:rsidRDefault="00366AF6" w:rsidP="00366AF6">
      <w:pPr>
        <w:pStyle w:val="Prrafodelista"/>
        <w:ind w:left="1080"/>
        <w:jc w:val="both"/>
      </w:pPr>
      <w:r w:rsidRPr="001C6DF9">
        <w:t>En donde el Gobierno Federal se compromete a aportar recursos de $1.67 pesos por cada peso que aporte el Gobierno del Estado, mismo que ha aceptado participar en este Programa con una aportación de 7 mil 500 millones de pesos. Por lo tanto la aportación del Gobierno Federal a través de la SAGARPA será de 12 millones 525 mil pesos.</w:t>
      </w:r>
    </w:p>
    <w:p w14:paraId="3E9B0537" w14:textId="77777777" w:rsidR="00366AF6" w:rsidRPr="001C6DF9" w:rsidRDefault="00366AF6" w:rsidP="00366AF6">
      <w:pPr>
        <w:pStyle w:val="Prrafodelista"/>
        <w:ind w:left="1080"/>
        <w:jc w:val="both"/>
      </w:pPr>
    </w:p>
    <w:p w14:paraId="5C23E645" w14:textId="77777777" w:rsidR="006B0DEC" w:rsidRDefault="006B0DEC" w:rsidP="006B0DEC">
      <w:pPr>
        <w:spacing w:after="200" w:line="276" w:lineRule="auto"/>
        <w:jc w:val="both"/>
      </w:pPr>
    </w:p>
    <w:p w14:paraId="6845D65B" w14:textId="77777777" w:rsidR="00366AF6" w:rsidRPr="00B425F5" w:rsidRDefault="00366AF6" w:rsidP="006B0DEC">
      <w:pPr>
        <w:spacing w:after="200" w:line="276" w:lineRule="auto"/>
        <w:jc w:val="both"/>
      </w:pPr>
      <w:r>
        <w:t>Nos encontramos en proceso de elaboración del Plan Estatal de Desarrollo</w:t>
      </w:r>
      <w:r w:rsidR="006B0DEC">
        <w:t xml:space="preserve"> (P.E.D.)</w:t>
      </w:r>
      <w:r>
        <w:t xml:space="preserve"> 2017-2021, en el apartado temático de Pesca y  Acuacultura para lo cual se han sostenido reuniones con la Secretaría de Planeación Ejecutiva de la Secretaría de Administración y Finanzas. Y se encuentra en el proceso de</w:t>
      </w:r>
      <w:r w:rsidR="006B0DEC">
        <w:t xml:space="preserve"> reuniones de participación con líderes del sector, expertos y funcionarios, además construir en conjunto </w:t>
      </w:r>
      <w:r>
        <w:t xml:space="preserve"> </w:t>
      </w:r>
      <w:r w:rsidR="006B0DEC">
        <w:t xml:space="preserve">las </w:t>
      </w:r>
      <w:r>
        <w:t xml:space="preserve"> estrategias y líneas de acción</w:t>
      </w:r>
      <w:r w:rsidR="006B0DEC">
        <w:t xml:space="preserve"> del P.E.D</w:t>
      </w:r>
      <w:r>
        <w:t>.</w:t>
      </w:r>
    </w:p>
    <w:p w14:paraId="5A3D5379" w14:textId="77777777" w:rsidR="00366AF6" w:rsidRDefault="00366AF6" w:rsidP="00447DAC">
      <w:pPr>
        <w:pStyle w:val="Prrafodelista"/>
      </w:pPr>
    </w:p>
    <w:p w14:paraId="7DB830CE" w14:textId="77777777" w:rsidR="006B0DEC" w:rsidRDefault="006B0DEC" w:rsidP="00447DAC">
      <w:pPr>
        <w:pStyle w:val="Prrafodelista"/>
      </w:pPr>
    </w:p>
    <w:p w14:paraId="1E35459A" w14:textId="77777777" w:rsidR="006B0DEC" w:rsidRDefault="006B0DEC" w:rsidP="00447DAC">
      <w:pPr>
        <w:pStyle w:val="Prrafodelista"/>
      </w:pPr>
    </w:p>
    <w:p w14:paraId="7CBBD4AC" w14:textId="77777777" w:rsidR="006B0DEC" w:rsidRDefault="006B0DEC" w:rsidP="00447DAC">
      <w:pPr>
        <w:pStyle w:val="Prrafodelista"/>
      </w:pPr>
    </w:p>
    <w:p w14:paraId="4CDABF5F" w14:textId="77777777" w:rsidR="006B0DEC" w:rsidRPr="00054F84" w:rsidRDefault="006B0DEC" w:rsidP="006B0DEC">
      <w:pPr>
        <w:jc w:val="both"/>
        <w:rPr>
          <w:sz w:val="28"/>
          <w:szCs w:val="28"/>
        </w:rPr>
      </w:pPr>
    </w:p>
    <w:p w14:paraId="7EEC8722" w14:textId="77777777" w:rsidR="006B0DEC" w:rsidRPr="006B0DEC" w:rsidRDefault="006B0DEC" w:rsidP="006B0DEC">
      <w:pPr>
        <w:jc w:val="both"/>
        <w:rPr>
          <w:sz w:val="28"/>
          <w:szCs w:val="28"/>
        </w:rPr>
      </w:pPr>
      <w:r>
        <w:rPr>
          <w:sz w:val="28"/>
          <w:szCs w:val="28"/>
        </w:rPr>
        <w:t>Se ha trabajado continuamente en el c</w:t>
      </w:r>
      <w:r w:rsidRPr="006B0DEC">
        <w:rPr>
          <w:sz w:val="28"/>
          <w:szCs w:val="28"/>
        </w:rPr>
        <w:t xml:space="preserve">abildeo junto con CONAPESCA, para frenar el tema del Dumping al Camarón, con  </w:t>
      </w:r>
      <w:proofErr w:type="spellStart"/>
      <w:r w:rsidRPr="006B0DEC">
        <w:rPr>
          <w:sz w:val="28"/>
          <w:szCs w:val="28"/>
        </w:rPr>
        <w:t>ONG´s</w:t>
      </w:r>
      <w:proofErr w:type="spellEnd"/>
      <w:r w:rsidRPr="006B0DEC">
        <w:rPr>
          <w:sz w:val="28"/>
          <w:szCs w:val="28"/>
        </w:rPr>
        <w:t xml:space="preserve"> Y autoridades de EE. UU. Sobre el tema de la Vaquita Marina. </w:t>
      </w:r>
    </w:p>
    <w:p w14:paraId="53092B92" w14:textId="77777777" w:rsidR="006B0DEC" w:rsidRPr="00054F84" w:rsidRDefault="006B0DEC" w:rsidP="006B0DEC">
      <w:pPr>
        <w:pStyle w:val="Prrafodelista"/>
        <w:jc w:val="both"/>
        <w:rPr>
          <w:sz w:val="28"/>
          <w:szCs w:val="28"/>
        </w:rPr>
      </w:pPr>
    </w:p>
    <w:p w14:paraId="21D96292" w14:textId="77777777" w:rsidR="006B0DEC" w:rsidRPr="006B0DEC" w:rsidRDefault="006B0DEC" w:rsidP="006B0DEC">
      <w:pPr>
        <w:jc w:val="both"/>
        <w:rPr>
          <w:sz w:val="28"/>
          <w:szCs w:val="28"/>
        </w:rPr>
      </w:pPr>
      <w:r w:rsidRPr="006B0DEC">
        <w:rPr>
          <w:sz w:val="28"/>
          <w:szCs w:val="28"/>
        </w:rPr>
        <w:t xml:space="preserve">Se está trabajando en la formulación del proyecto “Seguro de vida para el Pescador”. Cabe señalar que los estados de Yucatán y Baja California Sur ya tienen esta prestación para los pescadores. </w:t>
      </w:r>
    </w:p>
    <w:p w14:paraId="2BA74F69" w14:textId="77777777" w:rsidR="006B0DEC" w:rsidRPr="00871E0B" w:rsidRDefault="006B0DEC" w:rsidP="006B0DEC">
      <w:pPr>
        <w:jc w:val="both"/>
        <w:rPr>
          <w:sz w:val="28"/>
          <w:szCs w:val="28"/>
        </w:rPr>
      </w:pPr>
    </w:p>
    <w:p w14:paraId="4C9E36DA" w14:textId="77777777" w:rsidR="006B0DEC" w:rsidRPr="006B0DEC" w:rsidRDefault="006B0DEC" w:rsidP="006B0DEC">
      <w:pPr>
        <w:jc w:val="both"/>
        <w:rPr>
          <w:sz w:val="28"/>
          <w:szCs w:val="28"/>
        </w:rPr>
      </w:pPr>
      <w:r w:rsidRPr="006B0DEC">
        <w:rPr>
          <w:sz w:val="28"/>
          <w:szCs w:val="28"/>
        </w:rPr>
        <w:t>Trabajo en conjunto con el sector pesquero, 24 reuniones en total y la asistencia a 7 eventos vinculados con DIF Sinaloa, a continuación se enumera las reuniones y los participantes:</w:t>
      </w:r>
    </w:p>
    <w:p w14:paraId="6CAB1C83" w14:textId="77777777" w:rsidR="006B0DEC" w:rsidRPr="002C4513" w:rsidRDefault="006B0DEC" w:rsidP="006B0DEC">
      <w:pPr>
        <w:jc w:val="both"/>
        <w:rPr>
          <w:sz w:val="28"/>
          <w:szCs w:val="28"/>
        </w:rPr>
      </w:pPr>
    </w:p>
    <w:p w14:paraId="7B71CD30" w14:textId="77777777" w:rsidR="006B0DEC" w:rsidRDefault="006B0DEC" w:rsidP="006B0DEC">
      <w:pPr>
        <w:pStyle w:val="Prrafodelista"/>
        <w:jc w:val="both"/>
        <w:rPr>
          <w:sz w:val="28"/>
          <w:szCs w:val="28"/>
        </w:rPr>
      </w:pPr>
      <w:r>
        <w:rPr>
          <w:sz w:val="28"/>
          <w:szCs w:val="28"/>
        </w:rPr>
        <w:t>1 Reunión con la Comisión de Pesca del Congreso del Estado.</w:t>
      </w:r>
    </w:p>
    <w:p w14:paraId="57D9B787" w14:textId="77777777" w:rsidR="006B0DEC" w:rsidRDefault="006B0DEC" w:rsidP="006B0DEC">
      <w:pPr>
        <w:pStyle w:val="Prrafodelista"/>
        <w:jc w:val="both"/>
        <w:rPr>
          <w:sz w:val="28"/>
          <w:szCs w:val="28"/>
        </w:rPr>
      </w:pPr>
    </w:p>
    <w:p w14:paraId="56629114" w14:textId="77777777" w:rsidR="006B0DEC" w:rsidRDefault="006B0DEC" w:rsidP="006B0DEC">
      <w:pPr>
        <w:pStyle w:val="Prrafodelista"/>
        <w:jc w:val="both"/>
        <w:rPr>
          <w:sz w:val="28"/>
          <w:szCs w:val="28"/>
        </w:rPr>
      </w:pPr>
      <w:r>
        <w:rPr>
          <w:sz w:val="28"/>
          <w:szCs w:val="28"/>
        </w:rPr>
        <w:t xml:space="preserve">4 Reuniones con el Comisionado de la Comisión Nacional de Acuacultura y Pesca (CONAPESCA). </w:t>
      </w:r>
    </w:p>
    <w:p w14:paraId="1E64A0B5" w14:textId="77777777" w:rsidR="006B0DEC" w:rsidRDefault="006B0DEC" w:rsidP="006B0DEC">
      <w:pPr>
        <w:pStyle w:val="Prrafodelista"/>
        <w:jc w:val="both"/>
        <w:rPr>
          <w:sz w:val="28"/>
          <w:szCs w:val="28"/>
        </w:rPr>
      </w:pPr>
    </w:p>
    <w:p w14:paraId="1575FD93" w14:textId="77777777" w:rsidR="006B0DEC" w:rsidRDefault="006B0DEC" w:rsidP="006B0DEC">
      <w:pPr>
        <w:pStyle w:val="Prrafodelista"/>
        <w:jc w:val="both"/>
        <w:rPr>
          <w:sz w:val="28"/>
          <w:szCs w:val="28"/>
        </w:rPr>
      </w:pPr>
      <w:r>
        <w:rPr>
          <w:sz w:val="28"/>
          <w:szCs w:val="28"/>
        </w:rPr>
        <w:t xml:space="preserve">2 Reuniones con miembros del Gabinete Federal:  18 de enero de 2017, Estrategia Nacional de Inclusión, con el Secretario de SEDESOL, Lic. Luis Miranda Nava y el 07 de febrero 2017,  con el Secretario de SAGARPA José Calzada </w:t>
      </w:r>
      <w:proofErr w:type="spellStart"/>
      <w:r>
        <w:rPr>
          <w:sz w:val="28"/>
          <w:szCs w:val="28"/>
        </w:rPr>
        <w:t>Rovirosa</w:t>
      </w:r>
      <w:proofErr w:type="spellEnd"/>
      <w:r>
        <w:rPr>
          <w:sz w:val="28"/>
          <w:szCs w:val="28"/>
        </w:rPr>
        <w:t xml:space="preserve">. </w:t>
      </w:r>
    </w:p>
    <w:p w14:paraId="6A8D9E42" w14:textId="77777777" w:rsidR="006B0DEC" w:rsidRDefault="006B0DEC" w:rsidP="006B0DEC">
      <w:pPr>
        <w:pStyle w:val="Prrafodelista"/>
        <w:jc w:val="both"/>
        <w:rPr>
          <w:sz w:val="28"/>
          <w:szCs w:val="28"/>
        </w:rPr>
      </w:pPr>
    </w:p>
    <w:p w14:paraId="55FD2A1C" w14:textId="77777777" w:rsidR="006B0DEC" w:rsidRDefault="006B0DEC" w:rsidP="006B0DEC">
      <w:pPr>
        <w:pStyle w:val="Prrafodelista"/>
        <w:jc w:val="both"/>
        <w:rPr>
          <w:sz w:val="28"/>
          <w:szCs w:val="28"/>
        </w:rPr>
      </w:pPr>
      <w:r>
        <w:rPr>
          <w:sz w:val="28"/>
          <w:szCs w:val="28"/>
        </w:rPr>
        <w:t xml:space="preserve">1 Reunión de seguimiento a la Estrategia Nacional de Inclusión de SEDESOL. </w:t>
      </w:r>
    </w:p>
    <w:p w14:paraId="6C454FBB" w14:textId="77777777" w:rsidR="006B0DEC" w:rsidRDefault="006B0DEC" w:rsidP="006B0DEC">
      <w:pPr>
        <w:pStyle w:val="Prrafodelista"/>
        <w:jc w:val="both"/>
        <w:rPr>
          <w:sz w:val="28"/>
          <w:szCs w:val="28"/>
        </w:rPr>
      </w:pPr>
    </w:p>
    <w:p w14:paraId="3A10B7CA" w14:textId="77777777" w:rsidR="006B0DEC" w:rsidRDefault="006B0DEC" w:rsidP="006B0DEC">
      <w:pPr>
        <w:pStyle w:val="Prrafodelista"/>
        <w:jc w:val="both"/>
        <w:rPr>
          <w:sz w:val="28"/>
          <w:szCs w:val="28"/>
        </w:rPr>
      </w:pPr>
      <w:r>
        <w:rPr>
          <w:sz w:val="28"/>
          <w:szCs w:val="28"/>
        </w:rPr>
        <w:t>3 Reuniones con productores acuícolas.</w:t>
      </w:r>
    </w:p>
    <w:p w14:paraId="2E6787CA" w14:textId="77777777" w:rsidR="006B0DEC" w:rsidRDefault="006B0DEC" w:rsidP="006B0DEC">
      <w:pPr>
        <w:pStyle w:val="Prrafodelista"/>
        <w:jc w:val="both"/>
        <w:rPr>
          <w:sz w:val="28"/>
          <w:szCs w:val="28"/>
        </w:rPr>
      </w:pPr>
    </w:p>
    <w:p w14:paraId="54D12E31" w14:textId="77777777" w:rsidR="006B0DEC" w:rsidRDefault="006B0DEC" w:rsidP="006B0DEC">
      <w:pPr>
        <w:pStyle w:val="Prrafodelista"/>
        <w:jc w:val="both"/>
        <w:rPr>
          <w:sz w:val="28"/>
          <w:szCs w:val="28"/>
        </w:rPr>
      </w:pPr>
      <w:r>
        <w:rPr>
          <w:sz w:val="28"/>
          <w:szCs w:val="28"/>
        </w:rPr>
        <w:t>9 Reuniones con lideres de federaciones de cooperativas pesqueras.</w:t>
      </w:r>
    </w:p>
    <w:p w14:paraId="77E5F786" w14:textId="77777777" w:rsidR="006B0DEC" w:rsidRDefault="006B0DEC" w:rsidP="006B0DEC">
      <w:pPr>
        <w:pStyle w:val="Prrafodelista"/>
        <w:jc w:val="both"/>
        <w:rPr>
          <w:sz w:val="28"/>
          <w:szCs w:val="28"/>
        </w:rPr>
      </w:pPr>
    </w:p>
    <w:p w14:paraId="4C55B4D5" w14:textId="77777777" w:rsidR="006B0DEC" w:rsidRDefault="006B0DEC" w:rsidP="006B0DEC">
      <w:pPr>
        <w:pStyle w:val="Prrafodelista"/>
        <w:jc w:val="both"/>
        <w:rPr>
          <w:sz w:val="28"/>
          <w:szCs w:val="28"/>
        </w:rPr>
      </w:pPr>
      <w:r>
        <w:rPr>
          <w:sz w:val="28"/>
          <w:szCs w:val="28"/>
        </w:rPr>
        <w:t>2 Reuniones con personal del Comité de Sanidad Acuícola de Sinaloa (CESASIN).</w:t>
      </w:r>
    </w:p>
    <w:p w14:paraId="0F07319D" w14:textId="77777777" w:rsidR="006B0DEC" w:rsidRDefault="006B0DEC" w:rsidP="006B0DEC">
      <w:pPr>
        <w:pStyle w:val="Prrafodelista"/>
        <w:jc w:val="both"/>
        <w:rPr>
          <w:sz w:val="28"/>
          <w:szCs w:val="28"/>
        </w:rPr>
      </w:pPr>
    </w:p>
    <w:p w14:paraId="22070C89" w14:textId="77777777" w:rsidR="006B0DEC" w:rsidRDefault="006B0DEC" w:rsidP="006B0DEC">
      <w:pPr>
        <w:pStyle w:val="Prrafodelista"/>
        <w:jc w:val="both"/>
        <w:rPr>
          <w:sz w:val="28"/>
          <w:szCs w:val="28"/>
        </w:rPr>
      </w:pPr>
      <w:r>
        <w:rPr>
          <w:sz w:val="28"/>
          <w:szCs w:val="28"/>
        </w:rPr>
        <w:t>2 Reuniones intersecretariales (Instalación de FOFAES y sesión extraordinaria de CODESIN).</w:t>
      </w:r>
    </w:p>
    <w:p w14:paraId="0378959A" w14:textId="77777777" w:rsidR="006B0DEC" w:rsidRDefault="006B0DEC" w:rsidP="006B0DEC">
      <w:pPr>
        <w:pStyle w:val="Prrafodelista"/>
        <w:jc w:val="both"/>
        <w:rPr>
          <w:sz w:val="28"/>
          <w:szCs w:val="28"/>
        </w:rPr>
      </w:pPr>
    </w:p>
    <w:p w14:paraId="440FE067" w14:textId="77777777" w:rsidR="006B0DEC" w:rsidRDefault="006B0DEC" w:rsidP="006B0DEC">
      <w:pPr>
        <w:pStyle w:val="Prrafodelista"/>
        <w:jc w:val="both"/>
        <w:rPr>
          <w:sz w:val="28"/>
          <w:szCs w:val="28"/>
        </w:rPr>
      </w:pPr>
    </w:p>
    <w:p w14:paraId="3020B6BF" w14:textId="77777777" w:rsidR="006B0DEC" w:rsidRPr="003E0258" w:rsidRDefault="006B0DEC" w:rsidP="006B0DEC">
      <w:pPr>
        <w:jc w:val="both"/>
        <w:rPr>
          <w:sz w:val="28"/>
          <w:szCs w:val="28"/>
        </w:rPr>
      </w:pPr>
    </w:p>
    <w:p w14:paraId="4CA3E076" w14:textId="77777777" w:rsidR="00212F61" w:rsidRDefault="00212F61" w:rsidP="006B0DEC">
      <w:pPr>
        <w:jc w:val="both"/>
        <w:rPr>
          <w:sz w:val="28"/>
          <w:szCs w:val="28"/>
        </w:rPr>
      </w:pPr>
    </w:p>
    <w:p w14:paraId="720F835E" w14:textId="0D38871B" w:rsidR="006B0DEC" w:rsidRPr="006B0DEC" w:rsidRDefault="006B0DEC" w:rsidP="006B0DEC">
      <w:pPr>
        <w:jc w:val="both"/>
        <w:rPr>
          <w:sz w:val="28"/>
          <w:szCs w:val="28"/>
        </w:rPr>
      </w:pPr>
      <w:r w:rsidRPr="006B0DEC">
        <w:rPr>
          <w:sz w:val="28"/>
          <w:szCs w:val="28"/>
        </w:rPr>
        <w:t>En gestiones con el sector, se obtuvo donaciones por 11 toneladas de pescado que se canalizaron al DIF Estatal para poner en marcha el programa “Cuaresma en familia 2017”.</w:t>
      </w:r>
    </w:p>
    <w:p w14:paraId="582FA003" w14:textId="77777777" w:rsidR="006B0DEC" w:rsidRDefault="006B0DEC" w:rsidP="006B0DEC">
      <w:pPr>
        <w:jc w:val="both"/>
        <w:rPr>
          <w:sz w:val="28"/>
          <w:szCs w:val="28"/>
        </w:rPr>
      </w:pPr>
    </w:p>
    <w:p w14:paraId="361A7E77" w14:textId="77777777" w:rsidR="006B0DEC" w:rsidRPr="00054F84" w:rsidRDefault="006B0DEC" w:rsidP="006B0DEC">
      <w:pPr>
        <w:jc w:val="both"/>
        <w:rPr>
          <w:sz w:val="28"/>
          <w:szCs w:val="28"/>
        </w:rPr>
      </w:pPr>
    </w:p>
    <w:p w14:paraId="317259DF" w14:textId="77777777" w:rsidR="006B0DEC" w:rsidRPr="006B0DEC" w:rsidRDefault="006B0DEC" w:rsidP="006B0DEC">
      <w:pPr>
        <w:jc w:val="both"/>
        <w:rPr>
          <w:sz w:val="28"/>
          <w:szCs w:val="28"/>
        </w:rPr>
      </w:pPr>
      <w:r w:rsidRPr="006B0DEC">
        <w:rPr>
          <w:sz w:val="28"/>
          <w:szCs w:val="28"/>
        </w:rPr>
        <w:t xml:space="preserve">Se diseñó e implementó en coordinación con la Secretaría de Comunicaciones y Obras Públicas, la rehabilitación de acceso a los campos pesqueros del estado. </w:t>
      </w:r>
    </w:p>
    <w:p w14:paraId="0AEE9429" w14:textId="77777777" w:rsidR="006B0DEC" w:rsidRPr="00054F84" w:rsidRDefault="006B0DEC" w:rsidP="006B0DEC">
      <w:pPr>
        <w:jc w:val="both"/>
        <w:rPr>
          <w:sz w:val="28"/>
          <w:szCs w:val="28"/>
        </w:rPr>
      </w:pPr>
    </w:p>
    <w:p w14:paraId="7DB69BB1" w14:textId="77777777" w:rsidR="006B0DEC" w:rsidRPr="00054F84" w:rsidRDefault="006B0DEC" w:rsidP="006B0DEC">
      <w:pPr>
        <w:jc w:val="both"/>
        <w:rPr>
          <w:sz w:val="28"/>
          <w:szCs w:val="28"/>
        </w:rPr>
      </w:pPr>
    </w:p>
    <w:p w14:paraId="617FDB59" w14:textId="77777777" w:rsidR="006B0DEC" w:rsidRPr="006B0DEC" w:rsidRDefault="006B0DEC" w:rsidP="006B0DEC">
      <w:pPr>
        <w:rPr>
          <w:sz w:val="28"/>
          <w:szCs w:val="28"/>
        </w:rPr>
      </w:pPr>
      <w:r w:rsidRPr="006B0DEC">
        <w:rPr>
          <w:sz w:val="28"/>
          <w:szCs w:val="28"/>
        </w:rPr>
        <w:t>Por medio de ISAPESCA, se inspeccionó la instalación  de los Sistemas de Exclusión de Fauna Acuática (SEFA´S) o Excluidores en las Granjas Acuícolas, con tal de verificar el cumplimiento de   la NOM074.</w:t>
      </w:r>
    </w:p>
    <w:p w14:paraId="010EBD87" w14:textId="77777777" w:rsidR="006B0DEC" w:rsidRPr="00871E0B" w:rsidRDefault="006B0DEC" w:rsidP="006B0DEC">
      <w:pPr>
        <w:rPr>
          <w:sz w:val="28"/>
          <w:szCs w:val="28"/>
        </w:rPr>
      </w:pPr>
    </w:p>
    <w:p w14:paraId="2D898F81" w14:textId="77777777" w:rsidR="006B0DEC" w:rsidRDefault="006B0DEC" w:rsidP="006B0DEC"/>
    <w:p w14:paraId="115308D5" w14:textId="77777777" w:rsidR="006B0DEC" w:rsidRDefault="006B0DEC" w:rsidP="00447DAC">
      <w:pPr>
        <w:pStyle w:val="Prrafodelista"/>
      </w:pPr>
    </w:p>
    <w:p w14:paraId="39867E80" w14:textId="77777777" w:rsidR="00447DAC" w:rsidRDefault="00447DAC" w:rsidP="00447DAC">
      <w:pPr>
        <w:pStyle w:val="Prrafodelista"/>
      </w:pPr>
    </w:p>
    <w:sectPr w:rsidR="00447DAC" w:rsidSect="001A2C94">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DE58C" w14:textId="77777777" w:rsidR="007F5E1B" w:rsidRDefault="007F5E1B" w:rsidP="00212F61">
      <w:r>
        <w:separator/>
      </w:r>
    </w:p>
  </w:endnote>
  <w:endnote w:type="continuationSeparator" w:id="0">
    <w:p w14:paraId="74568B7B" w14:textId="77777777" w:rsidR="007F5E1B" w:rsidRDefault="007F5E1B" w:rsidP="0021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F900D" w14:textId="77777777" w:rsidR="007F5E1B" w:rsidRDefault="007F5E1B" w:rsidP="00212F61">
      <w:r>
        <w:separator/>
      </w:r>
    </w:p>
  </w:footnote>
  <w:footnote w:type="continuationSeparator" w:id="0">
    <w:p w14:paraId="7AB6D66F" w14:textId="77777777" w:rsidR="007F5E1B" w:rsidRDefault="007F5E1B" w:rsidP="00212F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E7EF0" w14:textId="40D792EC" w:rsidR="00212F61" w:rsidRDefault="00212F61">
    <w:pPr>
      <w:pStyle w:val="Encabezado"/>
    </w:pPr>
    <w:r>
      <w:rPr>
        <w:noProof/>
        <w:lang w:val="es-MX" w:eastAsia="es-MX"/>
      </w:rPr>
      <w:drawing>
        <wp:anchor distT="0" distB="0" distL="114300" distR="114300" simplePos="0" relativeHeight="251658240" behindDoc="0" locked="0" layoutInCell="1" allowOverlap="1" wp14:anchorId="4123B15F" wp14:editId="3C9CA744">
          <wp:simplePos x="0" y="0"/>
          <wp:positionH relativeFrom="margin">
            <wp:align>left</wp:align>
          </wp:positionH>
          <wp:positionV relativeFrom="paragraph">
            <wp:posOffset>-1905</wp:posOffset>
          </wp:positionV>
          <wp:extent cx="1085850" cy="1162050"/>
          <wp:effectExtent l="0" t="0" r="0" b="0"/>
          <wp:wrapSquare wrapText="bothSides"/>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
                    <a:extLst>
                      <a:ext uri="{28A0092B-C50C-407E-A947-70E740481C1C}">
                        <a14:useLocalDpi xmlns:a14="http://schemas.microsoft.com/office/drawing/2010/main" val="0"/>
                      </a:ext>
                    </a:extLst>
                  </a:blip>
                  <a:srcRect l="36295" t="24483" r="35693" b="21953"/>
                  <a:stretch>
                    <a:fillRect/>
                  </a:stretch>
                </pic:blipFill>
                <pic:spPr bwMode="auto">
                  <a:xfrm>
                    <a:off x="0" y="0"/>
                    <a:ext cx="1085850" cy="116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11317"/>
    <w:multiLevelType w:val="hybridMultilevel"/>
    <w:tmpl w:val="2A6A9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324BB"/>
    <w:multiLevelType w:val="hybridMultilevel"/>
    <w:tmpl w:val="0C04734A"/>
    <w:lvl w:ilvl="0" w:tplc="B804E5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51D93580"/>
    <w:multiLevelType w:val="hybridMultilevel"/>
    <w:tmpl w:val="0DACE9C8"/>
    <w:lvl w:ilvl="0" w:tplc="BFFCA52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AC"/>
    <w:rsid w:val="00054F84"/>
    <w:rsid w:val="000B3BAE"/>
    <w:rsid w:val="001A2C94"/>
    <w:rsid w:val="00212F61"/>
    <w:rsid w:val="002C4513"/>
    <w:rsid w:val="00366AF6"/>
    <w:rsid w:val="003E0258"/>
    <w:rsid w:val="00447DAC"/>
    <w:rsid w:val="005D647D"/>
    <w:rsid w:val="00665017"/>
    <w:rsid w:val="006B0DEC"/>
    <w:rsid w:val="007F5E1B"/>
    <w:rsid w:val="00871E0B"/>
    <w:rsid w:val="00D42334"/>
    <w:rsid w:val="00EF024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DFF0E"/>
  <w14:defaultImageDpi w14:val="300"/>
  <w15:docId w15:val="{13F4FE28-2457-4CB4-8522-301E9FDC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DAC"/>
    <w:pPr>
      <w:ind w:left="720"/>
      <w:contextualSpacing/>
    </w:pPr>
  </w:style>
  <w:style w:type="table" w:styleId="Tablaconcuadrcula">
    <w:name w:val="Table Grid"/>
    <w:basedOn w:val="Tablanormal"/>
    <w:uiPriority w:val="59"/>
    <w:rsid w:val="00366AF6"/>
    <w:rPr>
      <w:rFonts w:eastAsiaTheme="minorHAnsi"/>
      <w:sz w:val="22"/>
      <w:szCs w:val="22"/>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12F61"/>
    <w:pPr>
      <w:tabs>
        <w:tab w:val="center" w:pos="4419"/>
        <w:tab w:val="right" w:pos="8838"/>
      </w:tabs>
    </w:pPr>
  </w:style>
  <w:style w:type="character" w:customStyle="1" w:styleId="EncabezadoCar">
    <w:name w:val="Encabezado Car"/>
    <w:basedOn w:val="Fuentedeprrafopredeter"/>
    <w:link w:val="Encabezado"/>
    <w:uiPriority w:val="99"/>
    <w:rsid w:val="00212F61"/>
  </w:style>
  <w:style w:type="paragraph" w:styleId="Piedepgina">
    <w:name w:val="footer"/>
    <w:basedOn w:val="Normal"/>
    <w:link w:val="PiedepginaCar"/>
    <w:uiPriority w:val="99"/>
    <w:unhideWhenUsed/>
    <w:rsid w:val="00212F61"/>
    <w:pPr>
      <w:tabs>
        <w:tab w:val="center" w:pos="4419"/>
        <w:tab w:val="right" w:pos="8838"/>
      </w:tabs>
    </w:pPr>
  </w:style>
  <w:style w:type="character" w:customStyle="1" w:styleId="PiedepginaCar">
    <w:name w:val="Pie de página Car"/>
    <w:basedOn w:val="Fuentedeprrafopredeter"/>
    <w:link w:val="Piedepgina"/>
    <w:uiPriority w:val="99"/>
    <w:rsid w:val="0021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Rojo</dc:creator>
  <cp:keywords/>
  <dc:description/>
  <cp:lastModifiedBy>Gabriela Montes</cp:lastModifiedBy>
  <cp:revision>2</cp:revision>
  <dcterms:created xsi:type="dcterms:W3CDTF">2017-12-20T20:11:00Z</dcterms:created>
  <dcterms:modified xsi:type="dcterms:W3CDTF">2017-12-20T20:11:00Z</dcterms:modified>
</cp:coreProperties>
</file>