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2D" w:rsidRDefault="0089632D" w:rsidP="0089632D">
      <w:pPr>
        <w:pStyle w:val="NormalWeb"/>
        <w:shd w:val="clear" w:color="auto" w:fill="FFFFFF"/>
        <w:spacing w:before="150" w:beforeAutospacing="0" w:after="0" w:afterAutospacing="0" w:line="391" w:lineRule="atLeast"/>
        <w:textAlignment w:val="baseline"/>
        <w:rPr>
          <w:rFonts w:ascii="Arial" w:hAnsi="Arial" w:cs="Arial"/>
          <w:color w:val="323232"/>
          <w:sz w:val="18"/>
          <w:szCs w:val="18"/>
        </w:rPr>
      </w:pPr>
      <w:r>
        <w:rPr>
          <w:rFonts w:ascii="Arial" w:hAnsi="Arial" w:cs="Arial"/>
          <w:b/>
          <w:bCs/>
          <w:color w:val="323232"/>
          <w:sz w:val="16"/>
          <w:szCs w:val="16"/>
        </w:rPr>
        <w:t>Presentación </w:t>
      </w:r>
      <w:r>
        <w:rPr>
          <w:rFonts w:ascii="Arial" w:hAnsi="Arial" w:cs="Arial"/>
          <w:color w:val="323232"/>
          <w:sz w:val="16"/>
          <w:szCs w:val="16"/>
        </w:rPr>
        <w:t>"</w:t>
      </w:r>
      <w:r>
        <w:rPr>
          <w:rStyle w:val="Textoennegrita"/>
          <w:rFonts w:ascii="Arial" w:hAnsi="Arial" w:cs="Arial"/>
          <w:color w:val="002E63"/>
          <w:sz w:val="16"/>
          <w:szCs w:val="16"/>
        </w:rPr>
        <w:t>Cuenta Pública 2014</w:t>
      </w:r>
      <w:r>
        <w:rPr>
          <w:rFonts w:ascii="Arial" w:hAnsi="Arial" w:cs="Arial"/>
          <w:color w:val="323232"/>
          <w:sz w:val="16"/>
          <w:szCs w:val="16"/>
        </w:rPr>
        <w:t>"</w:t>
      </w:r>
    </w:p>
    <w:p w:rsidR="0089632D" w:rsidRDefault="0089632D" w:rsidP="0089632D">
      <w:pPr>
        <w:pStyle w:val="NormalWeb"/>
        <w:shd w:val="clear" w:color="auto" w:fill="FFFFFF"/>
        <w:spacing w:before="150" w:beforeAutospacing="0" w:after="0" w:afterAutospacing="0"/>
        <w:jc w:val="both"/>
        <w:textAlignment w:val="baseline"/>
        <w:rPr>
          <w:rFonts w:ascii="Arial" w:hAnsi="Arial" w:cs="Arial"/>
          <w:color w:val="323232"/>
          <w:sz w:val="18"/>
          <w:szCs w:val="18"/>
        </w:rPr>
      </w:pPr>
      <w:r>
        <w:rPr>
          <w:rFonts w:ascii="Arial" w:hAnsi="Arial" w:cs="Arial"/>
          <w:color w:val="323232"/>
          <w:sz w:val="16"/>
          <w:szCs w:val="16"/>
        </w:rPr>
        <w:t>En cumplimiento de lo dispuesto en el artículo 37, fracción VI de la Constitución Política del Estado de Sinaloa, el Ejecutivo Estatal somete a consideración del H. Congreso del Estado, la </w:t>
      </w:r>
      <w:r>
        <w:rPr>
          <w:rFonts w:ascii="Arial" w:hAnsi="Arial" w:cs="Arial"/>
          <w:b/>
          <w:bCs/>
          <w:color w:val="323232"/>
          <w:sz w:val="16"/>
          <w:szCs w:val="16"/>
        </w:rPr>
        <w:t>Cuenta Pública correspondiente al ejercicio fiscal de 2014</w:t>
      </w:r>
      <w:r>
        <w:rPr>
          <w:rFonts w:ascii="Arial" w:hAnsi="Arial" w:cs="Arial"/>
          <w:color w:val="323232"/>
          <w:sz w:val="16"/>
          <w:szCs w:val="16"/>
        </w:rPr>
        <w:t>.</w:t>
      </w:r>
    </w:p>
    <w:p w:rsidR="0089632D" w:rsidRDefault="0089632D" w:rsidP="0089632D">
      <w:pPr>
        <w:pStyle w:val="NormalWeb"/>
        <w:shd w:val="clear" w:color="auto" w:fill="FFFFFF"/>
        <w:spacing w:before="150" w:beforeAutospacing="0" w:after="0" w:afterAutospacing="0"/>
        <w:jc w:val="both"/>
        <w:textAlignment w:val="baseline"/>
        <w:rPr>
          <w:rFonts w:ascii="Arial" w:hAnsi="Arial" w:cs="Arial"/>
          <w:color w:val="323232"/>
          <w:sz w:val="18"/>
          <w:szCs w:val="18"/>
        </w:rPr>
      </w:pPr>
      <w:r>
        <w:rPr>
          <w:rFonts w:ascii="Arial" w:hAnsi="Arial" w:cs="Arial"/>
          <w:color w:val="323232"/>
          <w:sz w:val="16"/>
          <w:szCs w:val="16"/>
        </w:rPr>
        <w:t>La Cuenta Pública que se presenta fortalece la cultura de rendición de cuentas y la práctica cotidiana de la transparencia en la gestión pública. En estricto apego a los artículos 22, fracción XIV de la Ley de la Auditoría Superior del Estado de Sinaloa; 52, 53 y 54 de la Ley General de Contabilidad Gubernamental, y al Acuerdo por el que se armoniza la estructura de las cuentas públicas emitido por el Consejo Nacional de Armonización Contable y publicado en el Diario Oficial de la Federación el 30 de diciembre de 2013, la Cuenta Pública que se presenta obedece a la estructura y contenidos establecidos en los ordenamientos antes señalados.</w:t>
      </w:r>
    </w:p>
    <w:p w:rsidR="0089632D" w:rsidRDefault="0089632D" w:rsidP="0089632D">
      <w:pPr>
        <w:pStyle w:val="NormalWeb"/>
        <w:shd w:val="clear" w:color="auto" w:fill="FFFFFF"/>
        <w:spacing w:before="150" w:beforeAutospacing="0" w:after="0" w:afterAutospacing="0"/>
        <w:jc w:val="both"/>
        <w:textAlignment w:val="baseline"/>
        <w:rPr>
          <w:rFonts w:ascii="Arial" w:hAnsi="Arial" w:cs="Arial"/>
          <w:color w:val="323232"/>
          <w:sz w:val="18"/>
          <w:szCs w:val="18"/>
        </w:rPr>
      </w:pPr>
      <w:r>
        <w:rPr>
          <w:rFonts w:ascii="Arial" w:hAnsi="Arial" w:cs="Arial"/>
          <w:color w:val="323232"/>
          <w:sz w:val="16"/>
          <w:szCs w:val="16"/>
        </w:rPr>
        <w:t>En razón de lo anterior, la Cuenta Pública se presenta con la siguiente estructura:</w:t>
      </w:r>
    </w:p>
    <w:p w:rsidR="0089632D" w:rsidRDefault="0089632D" w:rsidP="0089632D">
      <w:pPr>
        <w:pStyle w:val="NormalWeb"/>
        <w:shd w:val="clear" w:color="auto" w:fill="FFFFFF"/>
        <w:spacing w:before="0" w:beforeAutospacing="0" w:after="0" w:afterAutospacing="0" w:line="210" w:lineRule="atLeast"/>
        <w:ind w:left="258"/>
        <w:jc w:val="both"/>
        <w:textAlignment w:val="baseline"/>
        <w:rPr>
          <w:rFonts w:ascii="Arial" w:hAnsi="Arial" w:cs="Arial"/>
          <w:color w:val="323232"/>
          <w:sz w:val="18"/>
          <w:szCs w:val="18"/>
        </w:rPr>
      </w:pPr>
      <w:r>
        <w:rPr>
          <w:rFonts w:ascii="Arial" w:hAnsi="Arial" w:cs="Arial"/>
          <w:b/>
          <w:bCs/>
          <w:color w:val="323232"/>
          <w:sz w:val="16"/>
          <w:szCs w:val="16"/>
        </w:rPr>
        <w:t>Gobierno Estatal</w:t>
      </w:r>
    </w:p>
    <w:p w:rsidR="0089632D" w:rsidRDefault="0089632D" w:rsidP="0089632D">
      <w:pPr>
        <w:pStyle w:val="NormalWeb"/>
        <w:shd w:val="clear" w:color="auto" w:fill="FFFFFF"/>
        <w:spacing w:before="0" w:beforeAutospacing="0" w:after="0" w:afterAutospacing="0" w:line="210" w:lineRule="atLeast"/>
        <w:ind w:left="708"/>
        <w:jc w:val="both"/>
        <w:textAlignment w:val="baseline"/>
        <w:rPr>
          <w:rFonts w:ascii="Arial" w:hAnsi="Arial" w:cs="Arial"/>
          <w:color w:val="323232"/>
          <w:sz w:val="18"/>
          <w:szCs w:val="18"/>
        </w:rPr>
      </w:pPr>
      <w:r>
        <w:rPr>
          <w:rFonts w:ascii="Arial" w:hAnsi="Arial" w:cs="Arial"/>
          <w:color w:val="323232"/>
          <w:sz w:val="16"/>
          <w:szCs w:val="16"/>
        </w:rPr>
        <w:t>-Tomo I Resultados Generales</w:t>
      </w:r>
    </w:p>
    <w:p w:rsidR="0089632D" w:rsidRDefault="0089632D" w:rsidP="0089632D">
      <w:pPr>
        <w:pStyle w:val="NormalWeb"/>
        <w:shd w:val="clear" w:color="auto" w:fill="FFFFFF"/>
        <w:spacing w:before="0" w:beforeAutospacing="0" w:after="0" w:afterAutospacing="0" w:line="210" w:lineRule="atLeast"/>
        <w:ind w:left="708"/>
        <w:jc w:val="both"/>
        <w:textAlignment w:val="baseline"/>
        <w:rPr>
          <w:rFonts w:ascii="Arial" w:hAnsi="Arial" w:cs="Arial"/>
          <w:color w:val="323232"/>
          <w:sz w:val="18"/>
          <w:szCs w:val="18"/>
        </w:rPr>
      </w:pPr>
      <w:r>
        <w:rPr>
          <w:rFonts w:ascii="Arial" w:hAnsi="Arial" w:cs="Arial"/>
          <w:color w:val="323232"/>
          <w:sz w:val="16"/>
          <w:szCs w:val="16"/>
        </w:rPr>
        <w:t>-Tomo II Información Consolidada</w:t>
      </w:r>
    </w:p>
    <w:p w:rsidR="0089632D" w:rsidRDefault="0089632D" w:rsidP="0089632D">
      <w:pPr>
        <w:pStyle w:val="NormalWeb"/>
        <w:shd w:val="clear" w:color="auto" w:fill="FFFFFF"/>
        <w:spacing w:before="0" w:beforeAutospacing="0" w:after="0" w:afterAutospacing="0" w:line="210" w:lineRule="atLeast"/>
        <w:ind w:left="708"/>
        <w:jc w:val="both"/>
        <w:textAlignment w:val="baseline"/>
        <w:rPr>
          <w:rFonts w:ascii="Arial" w:hAnsi="Arial" w:cs="Arial"/>
          <w:color w:val="323232"/>
          <w:sz w:val="18"/>
          <w:szCs w:val="18"/>
        </w:rPr>
      </w:pPr>
      <w:r>
        <w:rPr>
          <w:rFonts w:ascii="Arial" w:hAnsi="Arial" w:cs="Arial"/>
          <w:color w:val="323232"/>
          <w:sz w:val="16"/>
          <w:szCs w:val="16"/>
        </w:rPr>
        <w:t>-Tomo III Poder Ejecutivo</w:t>
      </w:r>
    </w:p>
    <w:p w:rsidR="0089632D" w:rsidRDefault="0089632D" w:rsidP="0089632D">
      <w:pPr>
        <w:pStyle w:val="NormalWeb"/>
        <w:shd w:val="clear" w:color="auto" w:fill="FFFFFF"/>
        <w:spacing w:before="0" w:beforeAutospacing="0" w:after="0" w:afterAutospacing="0" w:line="210" w:lineRule="atLeast"/>
        <w:ind w:left="708"/>
        <w:jc w:val="both"/>
        <w:textAlignment w:val="baseline"/>
        <w:rPr>
          <w:rFonts w:ascii="Arial" w:hAnsi="Arial" w:cs="Arial"/>
          <w:color w:val="323232"/>
          <w:sz w:val="18"/>
          <w:szCs w:val="18"/>
        </w:rPr>
      </w:pPr>
      <w:r>
        <w:rPr>
          <w:rFonts w:ascii="Arial" w:hAnsi="Arial" w:cs="Arial"/>
          <w:color w:val="323232"/>
          <w:sz w:val="16"/>
          <w:szCs w:val="16"/>
        </w:rPr>
        <w:t>-Tomo IV Poder Legislativo</w:t>
      </w:r>
    </w:p>
    <w:p w:rsidR="0089632D" w:rsidRDefault="0089632D" w:rsidP="0089632D">
      <w:pPr>
        <w:pStyle w:val="NormalWeb"/>
        <w:shd w:val="clear" w:color="auto" w:fill="FFFFFF"/>
        <w:spacing w:before="0" w:beforeAutospacing="0" w:after="0" w:afterAutospacing="0" w:line="210" w:lineRule="atLeast"/>
        <w:ind w:left="708"/>
        <w:jc w:val="both"/>
        <w:textAlignment w:val="baseline"/>
        <w:rPr>
          <w:rFonts w:ascii="Arial" w:hAnsi="Arial" w:cs="Arial"/>
          <w:color w:val="323232"/>
          <w:sz w:val="18"/>
          <w:szCs w:val="18"/>
        </w:rPr>
      </w:pPr>
      <w:r>
        <w:rPr>
          <w:rFonts w:ascii="Arial" w:hAnsi="Arial" w:cs="Arial"/>
          <w:color w:val="323232"/>
          <w:sz w:val="16"/>
          <w:szCs w:val="16"/>
        </w:rPr>
        <w:t>-Tomo V Poder Judicial</w:t>
      </w:r>
    </w:p>
    <w:p w:rsidR="0089632D" w:rsidRDefault="0089632D" w:rsidP="0089632D">
      <w:pPr>
        <w:pStyle w:val="NormalWeb"/>
        <w:shd w:val="clear" w:color="auto" w:fill="FFFFFF"/>
        <w:spacing w:before="0" w:beforeAutospacing="0" w:after="0" w:afterAutospacing="0" w:line="210" w:lineRule="atLeast"/>
        <w:ind w:left="708"/>
        <w:jc w:val="both"/>
        <w:textAlignment w:val="baseline"/>
        <w:rPr>
          <w:rFonts w:ascii="Arial" w:hAnsi="Arial" w:cs="Arial"/>
          <w:color w:val="323232"/>
          <w:sz w:val="18"/>
          <w:szCs w:val="18"/>
        </w:rPr>
      </w:pPr>
      <w:r>
        <w:rPr>
          <w:rFonts w:ascii="Arial" w:hAnsi="Arial" w:cs="Arial"/>
          <w:color w:val="323232"/>
          <w:sz w:val="16"/>
          <w:szCs w:val="16"/>
        </w:rPr>
        <w:t>-Tomo VI Organismos Autónomos</w:t>
      </w:r>
    </w:p>
    <w:p w:rsidR="0089632D" w:rsidRDefault="0089632D" w:rsidP="0089632D">
      <w:pPr>
        <w:pStyle w:val="NormalWeb"/>
        <w:shd w:val="clear" w:color="auto" w:fill="FFFFFF"/>
        <w:spacing w:before="0" w:beforeAutospacing="0" w:after="0" w:afterAutospacing="0" w:line="210" w:lineRule="atLeast"/>
        <w:ind w:left="708"/>
        <w:jc w:val="both"/>
        <w:textAlignment w:val="baseline"/>
        <w:rPr>
          <w:rFonts w:ascii="Arial" w:hAnsi="Arial" w:cs="Arial"/>
          <w:color w:val="323232"/>
          <w:sz w:val="18"/>
          <w:szCs w:val="18"/>
        </w:rPr>
      </w:pPr>
      <w:r>
        <w:rPr>
          <w:rFonts w:ascii="Arial" w:hAnsi="Arial" w:cs="Arial"/>
          <w:color w:val="323232"/>
          <w:sz w:val="16"/>
          <w:szCs w:val="16"/>
        </w:rPr>
        <w:t>-Tomo VII Organismos Paraestatales</w:t>
      </w:r>
    </w:p>
    <w:p w:rsidR="0089632D" w:rsidRDefault="0089632D" w:rsidP="0089632D">
      <w:pPr>
        <w:pStyle w:val="NormalWeb"/>
        <w:shd w:val="clear" w:color="auto" w:fill="FFFFFF"/>
        <w:spacing w:before="150" w:beforeAutospacing="0" w:after="0" w:afterAutospacing="0"/>
        <w:jc w:val="both"/>
        <w:textAlignment w:val="baseline"/>
        <w:rPr>
          <w:rFonts w:ascii="Arial" w:hAnsi="Arial" w:cs="Arial"/>
          <w:color w:val="323232"/>
          <w:sz w:val="18"/>
          <w:szCs w:val="18"/>
        </w:rPr>
      </w:pPr>
      <w:r>
        <w:rPr>
          <w:rFonts w:ascii="Arial" w:hAnsi="Arial" w:cs="Arial"/>
          <w:color w:val="323232"/>
          <w:sz w:val="16"/>
          <w:szCs w:val="16"/>
        </w:rPr>
        <w:t>El</w:t>
      </w:r>
      <w:r>
        <w:rPr>
          <w:rFonts w:ascii="Arial" w:hAnsi="Arial" w:cs="Arial"/>
          <w:b/>
          <w:bCs/>
          <w:color w:val="323232"/>
          <w:sz w:val="16"/>
          <w:szCs w:val="16"/>
        </w:rPr>
        <w:t> Tomo I</w:t>
      </w:r>
      <w:r>
        <w:rPr>
          <w:rFonts w:ascii="Arial" w:hAnsi="Arial" w:cs="Arial"/>
          <w:color w:val="323232"/>
          <w:sz w:val="16"/>
          <w:szCs w:val="16"/>
        </w:rPr>
        <w:t>, presenta un análisis cualitativo de los Ingresos Presupuestarios, Gastos Presupuestarios, Deuda Pública y Postura Fiscal.</w:t>
      </w:r>
    </w:p>
    <w:p w:rsidR="0089632D" w:rsidRDefault="0089632D" w:rsidP="0089632D">
      <w:pPr>
        <w:pStyle w:val="NormalWeb"/>
        <w:shd w:val="clear" w:color="auto" w:fill="FFFFFF"/>
        <w:spacing w:before="150" w:beforeAutospacing="0" w:after="0" w:afterAutospacing="0"/>
        <w:jc w:val="both"/>
        <w:textAlignment w:val="baseline"/>
        <w:rPr>
          <w:rFonts w:ascii="Arial" w:hAnsi="Arial" w:cs="Arial"/>
          <w:color w:val="323232"/>
          <w:sz w:val="18"/>
          <w:szCs w:val="18"/>
        </w:rPr>
      </w:pPr>
      <w:r>
        <w:rPr>
          <w:rFonts w:ascii="Arial" w:hAnsi="Arial" w:cs="Arial"/>
          <w:color w:val="323232"/>
          <w:sz w:val="16"/>
          <w:szCs w:val="16"/>
        </w:rPr>
        <w:t>El </w:t>
      </w:r>
      <w:r>
        <w:rPr>
          <w:rFonts w:ascii="Arial" w:hAnsi="Arial" w:cs="Arial"/>
          <w:b/>
          <w:bCs/>
          <w:color w:val="323232"/>
          <w:sz w:val="16"/>
          <w:szCs w:val="16"/>
        </w:rPr>
        <w:t>Tomo II Información Consolidada</w:t>
      </w:r>
      <w:r>
        <w:rPr>
          <w:rFonts w:ascii="Arial" w:hAnsi="Arial" w:cs="Arial"/>
          <w:color w:val="323232"/>
          <w:sz w:val="16"/>
          <w:szCs w:val="16"/>
        </w:rPr>
        <w:t>, presenta información contable y presupuestaria consolidada del Poder Legislativo, el Poder Judicial, los Organismos Autónomos, y del Poder Ejecutivo.</w:t>
      </w:r>
    </w:p>
    <w:p w:rsidR="0089632D" w:rsidRDefault="0089632D" w:rsidP="0089632D">
      <w:pPr>
        <w:pStyle w:val="NormalWeb"/>
        <w:shd w:val="clear" w:color="auto" w:fill="FFFFFF"/>
        <w:spacing w:before="150" w:beforeAutospacing="0" w:after="0" w:afterAutospacing="0"/>
        <w:jc w:val="both"/>
        <w:textAlignment w:val="baseline"/>
        <w:rPr>
          <w:rFonts w:ascii="Arial" w:hAnsi="Arial" w:cs="Arial"/>
          <w:color w:val="323232"/>
          <w:sz w:val="18"/>
          <w:szCs w:val="18"/>
        </w:rPr>
      </w:pPr>
      <w:r>
        <w:rPr>
          <w:rFonts w:ascii="Arial" w:hAnsi="Arial" w:cs="Arial"/>
          <w:color w:val="323232"/>
          <w:sz w:val="16"/>
          <w:szCs w:val="16"/>
        </w:rPr>
        <w:t>El </w:t>
      </w:r>
      <w:r>
        <w:rPr>
          <w:rFonts w:ascii="Arial" w:hAnsi="Arial" w:cs="Arial"/>
          <w:b/>
          <w:bCs/>
          <w:color w:val="323232"/>
          <w:sz w:val="16"/>
          <w:szCs w:val="16"/>
        </w:rPr>
        <w:t>Tomo III</w:t>
      </w:r>
      <w:r>
        <w:rPr>
          <w:rFonts w:ascii="Arial" w:hAnsi="Arial" w:cs="Arial"/>
          <w:color w:val="323232"/>
          <w:sz w:val="16"/>
          <w:szCs w:val="16"/>
        </w:rPr>
        <w:t> </w:t>
      </w:r>
      <w:r>
        <w:rPr>
          <w:rFonts w:ascii="Arial" w:hAnsi="Arial" w:cs="Arial"/>
          <w:b/>
          <w:bCs/>
          <w:color w:val="323232"/>
          <w:sz w:val="16"/>
          <w:szCs w:val="16"/>
        </w:rPr>
        <w:t>Poder Ejecutivo</w:t>
      </w:r>
      <w:r>
        <w:rPr>
          <w:rFonts w:ascii="Arial" w:hAnsi="Arial" w:cs="Arial"/>
          <w:color w:val="323232"/>
          <w:sz w:val="16"/>
          <w:szCs w:val="16"/>
        </w:rPr>
        <w:t>, presenta la información contable, presupuestaria y programática del Poder Ejecutivo, atendiendo a diversas disposiciones legales, así como la relación de bienes que componen su patrimonio en cumplimiento al Artículo 23, último párrafo, de la Ley General de Contabilidad Gubernamental</w:t>
      </w:r>
    </w:p>
    <w:p w:rsidR="0089632D" w:rsidRDefault="0089632D" w:rsidP="0089632D">
      <w:pPr>
        <w:pStyle w:val="NormalWeb"/>
        <w:shd w:val="clear" w:color="auto" w:fill="FFFFFF"/>
        <w:spacing w:before="150" w:beforeAutospacing="0" w:after="0" w:afterAutospacing="0"/>
        <w:jc w:val="both"/>
        <w:textAlignment w:val="baseline"/>
        <w:rPr>
          <w:rFonts w:ascii="Arial" w:hAnsi="Arial" w:cs="Arial"/>
          <w:color w:val="323232"/>
          <w:sz w:val="18"/>
          <w:szCs w:val="18"/>
        </w:rPr>
      </w:pPr>
      <w:r>
        <w:rPr>
          <w:rFonts w:ascii="Arial" w:hAnsi="Arial" w:cs="Arial"/>
          <w:color w:val="323232"/>
          <w:sz w:val="16"/>
          <w:szCs w:val="16"/>
        </w:rPr>
        <w:t>En el </w:t>
      </w:r>
      <w:r>
        <w:rPr>
          <w:rFonts w:ascii="Arial" w:hAnsi="Arial" w:cs="Arial"/>
          <w:b/>
          <w:bCs/>
          <w:color w:val="323232"/>
          <w:sz w:val="16"/>
          <w:szCs w:val="16"/>
        </w:rPr>
        <w:t>Tomo IV</w:t>
      </w:r>
      <w:r>
        <w:rPr>
          <w:rFonts w:ascii="Arial" w:hAnsi="Arial" w:cs="Arial"/>
          <w:color w:val="323232"/>
          <w:sz w:val="16"/>
          <w:szCs w:val="16"/>
        </w:rPr>
        <w:t> </w:t>
      </w:r>
      <w:r>
        <w:rPr>
          <w:rFonts w:ascii="Arial" w:hAnsi="Arial" w:cs="Arial"/>
          <w:b/>
          <w:bCs/>
          <w:color w:val="323232"/>
          <w:sz w:val="16"/>
          <w:szCs w:val="16"/>
        </w:rPr>
        <w:t>Poder Legislativo</w:t>
      </w:r>
      <w:r>
        <w:rPr>
          <w:rFonts w:ascii="Arial" w:hAnsi="Arial" w:cs="Arial"/>
          <w:color w:val="323232"/>
          <w:sz w:val="16"/>
          <w:szCs w:val="16"/>
        </w:rPr>
        <w:t>, se reporta información contable, presupuestaria y programática del H. Congreso del Estado, junto con el anexo que contiene la relación de bienes que componen su patrimonio en cumplimiento al Artículo 23, último párrafo, de la Ley General de Contabilidad Gubernamental.</w:t>
      </w:r>
    </w:p>
    <w:p w:rsidR="0089632D" w:rsidRDefault="0089632D" w:rsidP="0089632D">
      <w:pPr>
        <w:pStyle w:val="NormalWeb"/>
        <w:shd w:val="clear" w:color="auto" w:fill="FFFFFF"/>
        <w:spacing w:before="150" w:beforeAutospacing="0" w:after="0" w:afterAutospacing="0"/>
        <w:jc w:val="both"/>
        <w:textAlignment w:val="baseline"/>
        <w:rPr>
          <w:rFonts w:ascii="Arial" w:hAnsi="Arial" w:cs="Arial"/>
          <w:color w:val="323232"/>
          <w:sz w:val="18"/>
          <w:szCs w:val="18"/>
        </w:rPr>
      </w:pPr>
      <w:r>
        <w:rPr>
          <w:rFonts w:ascii="Arial" w:hAnsi="Arial" w:cs="Arial"/>
          <w:color w:val="323232"/>
          <w:sz w:val="16"/>
          <w:szCs w:val="16"/>
        </w:rPr>
        <w:t>El </w:t>
      </w:r>
      <w:r>
        <w:rPr>
          <w:rFonts w:ascii="Arial" w:hAnsi="Arial" w:cs="Arial"/>
          <w:b/>
          <w:bCs/>
          <w:color w:val="323232"/>
          <w:sz w:val="16"/>
          <w:szCs w:val="16"/>
        </w:rPr>
        <w:t>Tomo V</w:t>
      </w:r>
      <w:r>
        <w:rPr>
          <w:rFonts w:ascii="Arial" w:hAnsi="Arial" w:cs="Arial"/>
          <w:color w:val="323232"/>
          <w:sz w:val="16"/>
          <w:szCs w:val="16"/>
        </w:rPr>
        <w:t> </w:t>
      </w:r>
      <w:r>
        <w:rPr>
          <w:rFonts w:ascii="Arial" w:hAnsi="Arial" w:cs="Arial"/>
          <w:b/>
          <w:bCs/>
          <w:color w:val="323232"/>
          <w:sz w:val="16"/>
          <w:szCs w:val="16"/>
        </w:rPr>
        <w:t>Poder Judicial</w:t>
      </w:r>
      <w:r>
        <w:rPr>
          <w:rFonts w:ascii="Arial" w:hAnsi="Arial" w:cs="Arial"/>
          <w:color w:val="323232"/>
          <w:sz w:val="16"/>
          <w:szCs w:val="16"/>
        </w:rPr>
        <w:t>, contiene información contable, presupuestaria y programática del Poder Judicial del Estado de Sinaloa, junto con el anexo que contiene la relación de bienes que componen su patrimonio en cumplimiento al Artículo 23, último párrafo, de la Ley General de Contabilidad Gubernamental.</w:t>
      </w:r>
    </w:p>
    <w:p w:rsidR="0089632D" w:rsidRDefault="0089632D" w:rsidP="0089632D">
      <w:pPr>
        <w:pStyle w:val="NormalWeb"/>
        <w:shd w:val="clear" w:color="auto" w:fill="FFFFFF"/>
        <w:spacing w:before="150" w:beforeAutospacing="0" w:after="0" w:afterAutospacing="0"/>
        <w:jc w:val="both"/>
        <w:textAlignment w:val="baseline"/>
        <w:rPr>
          <w:rFonts w:ascii="Arial" w:hAnsi="Arial" w:cs="Arial"/>
          <w:color w:val="323232"/>
          <w:sz w:val="18"/>
          <w:szCs w:val="18"/>
        </w:rPr>
      </w:pPr>
      <w:r>
        <w:rPr>
          <w:rFonts w:ascii="Arial" w:hAnsi="Arial" w:cs="Arial"/>
          <w:color w:val="323232"/>
          <w:sz w:val="16"/>
          <w:szCs w:val="16"/>
        </w:rPr>
        <w:t>En el </w:t>
      </w:r>
      <w:r>
        <w:rPr>
          <w:rFonts w:ascii="Arial" w:hAnsi="Arial" w:cs="Arial"/>
          <w:b/>
          <w:bCs/>
          <w:color w:val="323232"/>
          <w:sz w:val="16"/>
          <w:szCs w:val="16"/>
        </w:rPr>
        <w:t>Tomo VI</w:t>
      </w:r>
      <w:r>
        <w:rPr>
          <w:rFonts w:ascii="Arial" w:hAnsi="Arial" w:cs="Arial"/>
          <w:color w:val="323232"/>
          <w:sz w:val="16"/>
          <w:szCs w:val="16"/>
        </w:rPr>
        <w:t> </w:t>
      </w:r>
      <w:r>
        <w:rPr>
          <w:rFonts w:ascii="Arial" w:hAnsi="Arial" w:cs="Arial"/>
          <w:b/>
          <w:bCs/>
          <w:color w:val="323232"/>
          <w:sz w:val="16"/>
          <w:szCs w:val="16"/>
        </w:rPr>
        <w:t>Organismos Autónomos</w:t>
      </w:r>
      <w:r>
        <w:rPr>
          <w:rFonts w:ascii="Arial" w:hAnsi="Arial" w:cs="Arial"/>
          <w:color w:val="323232"/>
          <w:sz w:val="16"/>
          <w:szCs w:val="16"/>
        </w:rPr>
        <w:t>, se presenta información contable, presupuestaria y programática de la Comisión Estatal de Acceso a la Información Pública, Comisión Estatal de los Derechos Humanos, Consejo Estatal Electoral, Tribunal de lo Contencioso Administrativo y Tribunal Estatal Electoral, junto con el anexo que contiene la relación de bienes que componen su patrimonio en cumplimiento al Artículo 23, último párrafo, de la Ley General de Contabilidad Gubernamental.</w:t>
      </w:r>
    </w:p>
    <w:p w:rsidR="0089632D" w:rsidRDefault="0089632D" w:rsidP="0089632D">
      <w:pPr>
        <w:pStyle w:val="NormalWeb"/>
        <w:shd w:val="clear" w:color="auto" w:fill="FFFFFF"/>
        <w:spacing w:before="150" w:beforeAutospacing="0" w:after="225" w:afterAutospacing="0"/>
        <w:jc w:val="both"/>
        <w:rPr>
          <w:rFonts w:ascii="Arial" w:hAnsi="Arial" w:cs="Arial"/>
          <w:color w:val="323232"/>
          <w:sz w:val="18"/>
          <w:szCs w:val="18"/>
        </w:rPr>
      </w:pPr>
      <w:r>
        <w:rPr>
          <w:rFonts w:ascii="Arial" w:hAnsi="Arial" w:cs="Arial"/>
          <w:color w:val="323232"/>
          <w:sz w:val="16"/>
          <w:szCs w:val="16"/>
        </w:rPr>
        <w:t>El </w:t>
      </w:r>
      <w:r>
        <w:rPr>
          <w:rFonts w:ascii="Arial" w:hAnsi="Arial" w:cs="Arial"/>
          <w:b/>
          <w:bCs/>
          <w:color w:val="323232"/>
          <w:sz w:val="16"/>
          <w:szCs w:val="16"/>
        </w:rPr>
        <w:t>Tomo VII</w:t>
      </w:r>
      <w:r>
        <w:rPr>
          <w:rFonts w:ascii="Arial" w:hAnsi="Arial" w:cs="Arial"/>
          <w:color w:val="323232"/>
          <w:sz w:val="16"/>
          <w:szCs w:val="16"/>
        </w:rPr>
        <w:t> </w:t>
      </w:r>
      <w:r>
        <w:rPr>
          <w:rFonts w:ascii="Arial" w:hAnsi="Arial" w:cs="Arial"/>
          <w:b/>
          <w:bCs/>
          <w:color w:val="323232"/>
          <w:sz w:val="16"/>
          <w:szCs w:val="16"/>
        </w:rPr>
        <w:t>Organismos Paraestatales</w:t>
      </w:r>
      <w:r>
        <w:rPr>
          <w:rFonts w:ascii="Arial" w:hAnsi="Arial" w:cs="Arial"/>
          <w:color w:val="323232"/>
          <w:sz w:val="16"/>
          <w:szCs w:val="16"/>
        </w:rPr>
        <w:t>, contiene información contable, presupuestaria y programática de los Organismos Paraestatales del Estado de Sinaloa, junto con el anexo que contiene la relación de bienes que componen su patrimonio en cumplimiento al Artículo 23, último párrafo, de la Ley General de Contabilidad Gubernamental.</w:t>
      </w:r>
    </w:p>
    <w:p w:rsidR="003B4A1A" w:rsidRDefault="003B4A1A"/>
    <w:sectPr w:rsidR="003B4A1A" w:rsidSect="003B4A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32D"/>
    <w:rsid w:val="003B4A1A"/>
    <w:rsid w:val="00673474"/>
    <w:rsid w:val="0089632D"/>
    <w:rsid w:val="009E5772"/>
    <w:rsid w:val="00C453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632D"/>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9632D"/>
    <w:rPr>
      <w:b/>
      <w:bCs/>
    </w:rPr>
  </w:style>
</w:styles>
</file>

<file path=word/webSettings.xml><?xml version="1.0" encoding="utf-8"?>
<w:webSettings xmlns:r="http://schemas.openxmlformats.org/officeDocument/2006/relationships" xmlns:w="http://schemas.openxmlformats.org/wordprocessingml/2006/main">
  <w:divs>
    <w:div w:id="2053915066">
      <w:bodyDiv w:val="1"/>
      <w:marLeft w:val="0"/>
      <w:marRight w:val="0"/>
      <w:marTop w:val="0"/>
      <w:marBottom w:val="0"/>
      <w:divBdr>
        <w:top w:val="none" w:sz="0" w:space="0" w:color="auto"/>
        <w:left w:val="none" w:sz="0" w:space="0" w:color="auto"/>
        <w:bottom w:val="none" w:sz="0" w:space="0" w:color="auto"/>
        <w:right w:val="none" w:sz="0" w:space="0" w:color="auto"/>
      </w:divBdr>
      <w:divsChild>
        <w:div w:id="978415310">
          <w:marLeft w:val="0"/>
          <w:marRight w:val="258"/>
          <w:marTop w:val="0"/>
          <w:marBottom w:val="0"/>
          <w:divBdr>
            <w:top w:val="none" w:sz="0" w:space="0" w:color="auto"/>
            <w:left w:val="none" w:sz="0" w:space="0" w:color="auto"/>
            <w:bottom w:val="single" w:sz="8" w:space="5" w:color="D6D6D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2782</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2018-08-23T18:13:00Z</dcterms:created>
  <dcterms:modified xsi:type="dcterms:W3CDTF">2018-08-23T18:13:00Z</dcterms:modified>
</cp:coreProperties>
</file>